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037FD">
      <w:pPr>
        <w:snapToGrid w:val="0"/>
        <w:spacing w:before="312" w:beforeLines="100"/>
        <w:ind w:left="0" w:leftChars="0" w:firstLine="0" w:firstLineChars="0"/>
        <w:jc w:val="left"/>
        <w:rPr>
          <w:rFonts w:hint="eastAsia" w:ascii="黑体" w:hAnsi="宋体" w:eastAsia="黑体"/>
          <w:b/>
          <w:color w:val="FF0000"/>
          <w:w w:val="80"/>
          <w:kern w:val="0"/>
          <w:sz w:val="116"/>
          <w:szCs w:val="116"/>
        </w:rPr>
      </w:pPr>
      <w:r>
        <w:rPr>
          <w:rFonts w:hint="eastAsia" w:ascii="黑体" w:hAnsi="宋体" w:eastAsia="黑体"/>
          <w:b/>
          <w:color w:val="FF0000"/>
          <w:w w:val="80"/>
          <w:kern w:val="0"/>
          <w:sz w:val="116"/>
          <w:szCs w:val="116"/>
          <w:lang w:val="en-US" w:eastAsia="zh-CN"/>
        </w:rPr>
        <w:t xml:space="preserve"> </w:t>
      </w:r>
      <w:r>
        <w:rPr>
          <w:rFonts w:hint="eastAsia" w:ascii="黑体" w:hAnsi="宋体" w:eastAsia="黑体"/>
          <w:b/>
          <w:color w:val="FF0000"/>
          <w:w w:val="80"/>
          <w:kern w:val="0"/>
          <w:sz w:val="116"/>
          <w:szCs w:val="116"/>
        </w:rPr>
        <w:pict>
          <v:shape id="_x0000_i1025" o:spt="136" type="#_x0000_t136" style="height:65pt;width:397.5pt;" fillcolor="#FF0000" filled="t" stroked="f" coordsize="21600,21600">
            <v:path/>
            <v:fill on="t" focussize="0,0"/>
            <v:stroke on="f"/>
            <v:imagedata o:title=""/>
            <o:lock v:ext="edit"/>
            <v:textpath on="t" fitshape="t" fitpath="t" trim="t" xscale="f" string="吉林工程职业学院文件" style="font-family:华文中宋;font-size:60pt;font-weight:bold;v-rotate-letters:f;v-same-letter-heights:f;v-text-align:center;"/>
            <w10:wrap type="none"/>
            <w10:anchorlock/>
          </v:shape>
        </w:pict>
      </w:r>
    </w:p>
    <w:p w14:paraId="6DDFC21C">
      <w:pPr>
        <w:snapToGrid w:val="0"/>
        <w:rPr>
          <w:rFonts w:hint="eastAsia" w:ascii="仿宋_GB2312" w:hAnsi="宋体" w:eastAsia="仿宋_GB2312"/>
          <w:sz w:val="32"/>
        </w:rPr>
      </w:pPr>
    </w:p>
    <w:p w14:paraId="5DEAD437">
      <w:pPr>
        <w:snapToGrid w:val="0"/>
        <w:spacing w:line="400" w:lineRule="exact"/>
        <w:ind w:firstLine="960" w:firstLineChars="300"/>
        <w:jc w:val="both"/>
        <w:rPr>
          <w:rFonts w:hint="default" w:ascii="楷体" w:hAnsi="楷体" w:eastAsia="仿宋_GB2312"/>
          <w:b/>
          <w:sz w:val="32"/>
          <w:lang w:val="en-US" w:eastAsia="zh-CN"/>
        </w:rPr>
      </w:pPr>
      <w:r>
        <w:rPr>
          <w:rFonts w:hint="eastAsia" w:ascii="仿宋_GB2312" w:hAnsi="宋体" w:eastAsia="仿宋_GB2312"/>
          <w:sz w:val="32"/>
        </w:rPr>
        <w:t>吉工程职院〔20</w:t>
      </w:r>
      <w:r>
        <w:rPr>
          <w:rFonts w:hint="eastAsia" w:ascii="仿宋_GB2312" w:hAnsi="宋体" w:eastAsia="仿宋_GB2312"/>
          <w:sz w:val="32"/>
          <w:lang w:val="en-US" w:eastAsia="zh-CN"/>
        </w:rPr>
        <w:t>24</w:t>
      </w:r>
      <w:r>
        <w:rPr>
          <w:rFonts w:hint="eastAsia" w:ascii="仿宋_GB2312" w:hAnsi="宋体" w:eastAsia="仿宋_GB2312"/>
          <w:sz w:val="32"/>
        </w:rPr>
        <w:t>〕</w:t>
      </w:r>
      <w:r>
        <w:rPr>
          <w:rFonts w:hint="eastAsia" w:ascii="仿宋_GB2312" w:hAnsi="宋体" w:eastAsia="仿宋_GB2312"/>
          <w:sz w:val="32"/>
          <w:lang w:val="en-US" w:eastAsia="zh-CN"/>
        </w:rPr>
        <w:t>80</w:t>
      </w:r>
      <w:r>
        <w:rPr>
          <w:rFonts w:hint="eastAsia" w:ascii="仿宋_GB2312" w:hAnsi="宋体" w:eastAsia="仿宋_GB2312"/>
          <w:sz w:val="32"/>
        </w:rPr>
        <w:t xml:space="preserve">号 </w:t>
      </w:r>
      <w:r>
        <w:rPr>
          <w:rFonts w:ascii="仿宋_GB2312" w:hAnsi="宋体" w:eastAsia="仿宋_GB2312"/>
          <w:sz w:val="32"/>
        </w:rPr>
        <w:t xml:space="preserve"> </w:t>
      </w:r>
      <w:r>
        <w:rPr>
          <w:rFonts w:hint="eastAsia" w:ascii="仿宋_GB2312" w:hAnsi="宋体" w:eastAsia="仿宋_GB2312"/>
          <w:sz w:val="32"/>
          <w:lang w:val="en-US" w:eastAsia="zh-CN"/>
        </w:rPr>
        <w:t xml:space="preserve">    </w:t>
      </w:r>
      <w:r>
        <w:rPr>
          <w:rFonts w:ascii="仿宋_GB2312" w:hAnsi="宋体" w:eastAsia="仿宋_GB2312"/>
          <w:sz w:val="32"/>
        </w:rPr>
        <w:t xml:space="preserve"> </w:t>
      </w:r>
      <w:r>
        <w:rPr>
          <w:rFonts w:hint="eastAsia" w:ascii="仿宋_GB2312" w:hAnsi="宋体" w:eastAsia="仿宋_GB2312"/>
          <w:sz w:val="32"/>
          <w:lang w:val="en-US" w:eastAsia="zh-CN"/>
        </w:rPr>
        <w:t xml:space="preserve"> </w:t>
      </w:r>
      <w:r>
        <w:rPr>
          <w:rFonts w:hint="eastAsia" w:ascii="仿宋_GB2312" w:hAnsi="宋体" w:eastAsia="仿宋_GB2312"/>
          <w:sz w:val="32"/>
        </w:rPr>
        <w:t xml:space="preserve"> 签发人：</w:t>
      </w:r>
      <w:r>
        <w:rPr>
          <w:rFonts w:hint="eastAsia" w:ascii="仿宋_GB2312" w:hAnsi="宋体" w:eastAsia="仿宋_GB2312"/>
          <w:sz w:val="32"/>
          <w:lang w:val="en-US" w:eastAsia="zh-CN"/>
        </w:rPr>
        <w:t>宋 辉</w:t>
      </w:r>
    </w:p>
    <w:p w14:paraId="06CF7803">
      <w:pPr>
        <w:snapToGrid w:val="0"/>
        <w:ind w:left="0" w:leftChars="0" w:right="-48" w:rightChars="-23" w:firstLine="440" w:firstLineChars="100"/>
        <w:jc w:val="both"/>
        <w:rPr>
          <w:rFonts w:ascii="宋体" w:hAnsi="宋体"/>
          <w:b/>
          <w:bCs/>
          <w:sz w:val="44"/>
          <w:szCs w:val="44"/>
        </w:rPr>
      </w:pPr>
      <w:r>
        <w:rPr>
          <w:rFonts w:hint="eastAsia" w:ascii="宋体-方正超大字符集" w:hAnsi="新宋体" w:eastAsia="宋体-方正超大字符集"/>
          <w:b/>
          <w:color w:val="FF0000"/>
          <w:sz w:val="44"/>
          <w:szCs w:val="44"/>
        </w:rPr>
        <w:t>—————————————————</w:t>
      </w:r>
    </w:p>
    <w:p w14:paraId="37D97C91">
      <w:pPr>
        <w:spacing w:line="240" w:lineRule="exact"/>
        <w:jc w:val="left"/>
        <w:rPr>
          <w:rFonts w:hint="eastAsia" w:ascii="仿宋_GB2312" w:hAnsi="宋体"/>
          <w:sz w:val="28"/>
          <w:szCs w:val="28"/>
        </w:rPr>
      </w:pPr>
    </w:p>
    <w:p w14:paraId="3DC95AA1">
      <w:pPr>
        <w:keepNext w:val="0"/>
        <w:pageBreakBefore w:val="0"/>
        <w:widowControl w:val="0"/>
        <w:kinsoku/>
        <w:wordWrap/>
        <w:overflowPunct/>
        <w:topLinePunct w:val="0"/>
        <w:autoSpaceDE/>
        <w:autoSpaceDN/>
        <w:bidi w:val="0"/>
        <w:adjustRightInd/>
        <w:snapToGrid/>
        <w:spacing w:before="140" w:line="560" w:lineRule="exact"/>
        <w:ind w:left="0" w:leftChars="0" w:firstLine="0" w:firstLineChars="0"/>
        <w:jc w:val="center"/>
        <w:textAlignment w:val="auto"/>
        <w:outlineLvl w:val="2"/>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吉林工程职业学院科研平台建设</w:t>
      </w:r>
    </w:p>
    <w:p w14:paraId="330DE092">
      <w:pPr>
        <w:keepNext w:val="0"/>
        <w:pageBreakBefore w:val="0"/>
        <w:widowControl w:val="0"/>
        <w:kinsoku/>
        <w:wordWrap/>
        <w:overflowPunct/>
        <w:topLinePunct w:val="0"/>
        <w:autoSpaceDE/>
        <w:autoSpaceDN/>
        <w:bidi w:val="0"/>
        <w:adjustRightInd/>
        <w:snapToGrid/>
        <w:spacing w:before="140" w:line="560" w:lineRule="exact"/>
        <w:ind w:left="0" w:leftChars="0" w:firstLine="0" w:firstLineChars="0"/>
        <w:jc w:val="center"/>
        <w:textAlignment w:val="auto"/>
        <w:outlineLvl w:val="2"/>
        <w:rPr>
          <w:rFonts w:ascii="黑体" w:hAnsi="黑体" w:eastAsia="黑体"/>
          <w:b w:val="0"/>
          <w:bCs w:val="0"/>
          <w:sz w:val="44"/>
          <w:szCs w:val="44"/>
        </w:rPr>
      </w:pPr>
      <w:r>
        <w:rPr>
          <w:rFonts w:hint="eastAsia" w:ascii="方正小标宋简体" w:hAnsi="方正小标宋简体" w:eastAsia="方正小标宋简体" w:cs="方正小标宋简体"/>
          <w:bCs/>
          <w:color w:val="000000"/>
          <w:sz w:val="44"/>
          <w:szCs w:val="44"/>
        </w:rPr>
        <w:t>与管理办法（试行）</w:t>
      </w:r>
    </w:p>
    <w:p w14:paraId="366D038A">
      <w:pPr>
        <w:pStyle w:val="6"/>
        <w:spacing w:before="0" w:beforeAutospacing="0" w:after="0" w:afterAutospacing="0" w:line="560" w:lineRule="exact"/>
        <w:jc w:val="center"/>
        <w:rPr>
          <w:rFonts w:ascii="黑体" w:hAnsi="黑体" w:eastAsia="黑体"/>
          <w:sz w:val="32"/>
          <w:szCs w:val="32"/>
        </w:rPr>
      </w:pPr>
      <w:r>
        <w:rPr>
          <w:rFonts w:ascii="黑体" w:hAnsi="黑体" w:eastAsia="黑体"/>
          <w:sz w:val="32"/>
          <w:szCs w:val="32"/>
        </w:rPr>
        <w:t>第一章 总 则</w:t>
      </w:r>
    </w:p>
    <w:p w14:paraId="0F2D93B3">
      <w:pPr>
        <w:pStyle w:val="6"/>
        <w:spacing w:before="0" w:beforeAutospacing="0" w:after="0" w:afterAutospacing="0" w:line="560" w:lineRule="exact"/>
        <w:ind w:firstLine="643" w:firstLineChars="200"/>
        <w:rPr>
          <w:rFonts w:hint="eastAsia" w:ascii="仿宋_GB2312" w:hAnsi="仿宋_GB2312" w:eastAsia="仿宋_GB2312" w:cs="仿宋_GB2312"/>
          <w:sz w:val="32"/>
          <w:szCs w:val="32"/>
        </w:rPr>
      </w:pPr>
      <w:r>
        <w:rPr>
          <w:rStyle w:val="9"/>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rPr>
        <w:t xml:space="preserve"> 为加快构建服务地方经济社会发展、特色鲜明的科学研究平台，推动学校科技工作迈上新台阶，规范我校科研平台的建设管理，充分发挥科研平台在科学研究、社会服务、专业建设和人才培养等方面的作用，结合我校实际，特制定本办法。</w:t>
      </w:r>
    </w:p>
    <w:p w14:paraId="6287EBA1">
      <w:pPr>
        <w:pStyle w:val="6"/>
        <w:spacing w:before="0" w:beforeAutospacing="0" w:after="0" w:afterAutospacing="0" w:line="560" w:lineRule="exact"/>
        <w:ind w:firstLine="643" w:firstLineChars="200"/>
        <w:rPr>
          <w:rFonts w:hint="eastAsia" w:ascii="仿宋_GB2312" w:hAnsi="仿宋_GB2312" w:eastAsia="仿宋_GB2312" w:cs="仿宋_GB2312"/>
          <w:sz w:val="32"/>
          <w:szCs w:val="32"/>
        </w:rPr>
      </w:pPr>
      <w:r>
        <w:rPr>
          <w:rStyle w:val="9"/>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rPr>
        <w:t xml:space="preserve"> 本办法所述科研平台，包括各级各类研究院所、研究中心、研发中心、协同创新公共平台、技术中心、重点实验室、开放实验室等科研载体或科技服务平台。</w:t>
      </w:r>
    </w:p>
    <w:p w14:paraId="136762C5">
      <w:pPr>
        <w:pStyle w:val="6"/>
        <w:spacing w:before="0" w:beforeAutospacing="0" w:after="0" w:afterAutospacing="0" w:line="560" w:lineRule="exact"/>
        <w:ind w:firstLine="643" w:firstLineChars="200"/>
        <w:rPr>
          <w:rFonts w:hint="eastAsia" w:ascii="仿宋_GB2312" w:hAnsi="仿宋_GB2312" w:eastAsia="仿宋_GB2312" w:cs="仿宋_GB2312"/>
          <w:sz w:val="32"/>
          <w:szCs w:val="32"/>
        </w:rPr>
      </w:pPr>
      <w:r>
        <w:rPr>
          <w:rStyle w:val="9"/>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rPr>
        <w:t xml:space="preserve"> 科研平台应以各教学单位为依托，学校批准设立或同意申报，各教学单位负责管理，科研处负责考核。</w:t>
      </w:r>
    </w:p>
    <w:p w14:paraId="0044ECE6">
      <w:pPr>
        <w:pStyle w:val="6"/>
        <w:spacing w:before="0" w:beforeAutospacing="0" w:after="0" w:afterAutospacing="0" w:line="560" w:lineRule="exact"/>
        <w:ind w:firstLine="643" w:firstLineChars="200"/>
        <w:rPr>
          <w:rFonts w:hint="eastAsia" w:ascii="仿宋_GB2312" w:hAnsi="仿宋_GB2312" w:eastAsia="仿宋_GB2312" w:cs="仿宋_GB2312"/>
          <w:sz w:val="32"/>
          <w:szCs w:val="32"/>
        </w:rPr>
      </w:pPr>
      <w:r>
        <w:rPr>
          <w:rStyle w:val="9"/>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rPr>
        <w:t xml:space="preserve"> 科研平台实行分类设立，定期考核，优胜劣汰，滚动发展。</w:t>
      </w:r>
    </w:p>
    <w:p w14:paraId="6F40D20C">
      <w:pPr>
        <w:pStyle w:val="6"/>
        <w:spacing w:before="0" w:beforeAutospacing="0" w:after="0" w:afterAutospacing="0" w:line="560" w:lineRule="exact"/>
        <w:jc w:val="center"/>
        <w:rPr>
          <w:rFonts w:ascii="黑体" w:hAnsi="黑体" w:eastAsia="黑体"/>
          <w:sz w:val="32"/>
          <w:szCs w:val="32"/>
        </w:rPr>
      </w:pPr>
      <w:r>
        <w:rPr>
          <w:rFonts w:ascii="黑体" w:hAnsi="黑体" w:eastAsia="黑体"/>
          <w:sz w:val="32"/>
          <w:szCs w:val="32"/>
        </w:rPr>
        <w:t>第二章 申报条件和审批程序</w:t>
      </w:r>
    </w:p>
    <w:p w14:paraId="24C713CB">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申报建立科研平台必须具备以下条件：</w:t>
      </w:r>
    </w:p>
    <w:p w14:paraId="044F1729">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专业和经济社会发展需求，具有2个及以上相对稳定的研究方向，有明确的中长期发展规划，有适当比例企事业单位的校外专家；研究团队总人数原则上应在5人以上，其中高级职称人员一般不少于2人；具备承担省市及企业科研任务或工程项目的能力。</w:t>
      </w:r>
    </w:p>
    <w:p w14:paraId="69382D26">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（二）拥有学术造诣深、作风正派、富有开拓精神和组织领导能力的学术带头人；学术梯队合理，有一定数量的中青年业务骨干及必需的技术人员队伍。</w:t>
      </w:r>
    </w:p>
    <w:p w14:paraId="2B28FFEB">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科学研究和人才培养方面已取得显著成绩，承担过一定数量的省市、校级及企业科研项目，申报各级各类平台相关团队应在对应研究领域对应级别与数量的科研成果积累，具体如下：申报校级平台应该至少已结项完成2项及以上校级相关领域科研课题；申报市厅级平台应该至少已结项完成1项及以上市厅级相关领域科研课题；申报省级、国家级平台按照相关通知要求执行（无具体要求的以校级文件对应标准要求执行）。同时团队要具有稳定的科研方向。</w:t>
      </w:r>
    </w:p>
    <w:p w14:paraId="5EEEB089">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（四）重点实验室、开放实验室等平台，在申报前应当有实验室及足够的仪器设备条件；科研平台原则上应当有实验室作为科研支撑条件。</w:t>
      </w:r>
    </w:p>
    <w:p w14:paraId="05F773A1">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（五）科研平台负责人优先推荐国家、省、市级各类优秀人才。</w:t>
      </w:r>
    </w:p>
    <w:p w14:paraId="011BA4A2">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申请建立科研平台的审批程序：由拟建科研平台筹备负责人提出书面申请，所在教学单位同意，科研处组织专家论证审核，院长办公会议审议并正式发文。</w:t>
      </w:r>
    </w:p>
    <w:p w14:paraId="1C8796B9">
      <w:pPr>
        <w:pStyle w:val="6"/>
        <w:spacing w:before="0" w:beforeAutospacing="0" w:after="0" w:afterAutospacing="0" w:line="560" w:lineRule="exact"/>
        <w:jc w:val="center"/>
        <w:rPr>
          <w:rFonts w:ascii="黑体" w:hAnsi="黑体" w:eastAsia="黑体"/>
          <w:sz w:val="32"/>
          <w:szCs w:val="32"/>
        </w:rPr>
      </w:pPr>
      <w:r>
        <w:rPr>
          <w:rFonts w:ascii="黑体" w:hAnsi="黑体" w:eastAsia="黑体"/>
          <w:sz w:val="32"/>
          <w:szCs w:val="32"/>
        </w:rPr>
        <w:t>第三章 科研平台目标任务</w:t>
      </w:r>
    </w:p>
    <w:p w14:paraId="18ADEFB5">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面向行业产业，以技术研发或者工程技术应用为方向，以服务地方支柱产业、培育战略新兴产业和改造传统产业为重点，通过高校与高校、科研院所，特别是与行业骨干企业的强强联合，能为地方行业产业发展所需的核心共性技术研发和转移提供支撑。</w:t>
      </w:r>
    </w:p>
    <w:p w14:paraId="63D1B015">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面向区域发展，推动校内外科研资源的整合，与行业骨干企业或产业化基地的深度融合。</w:t>
      </w:r>
    </w:p>
    <w:p w14:paraId="7E5CF618">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围绕省、市政府发布的重大课题开展调研，为引领和促进区域经济和社会的创新发展提供决策咨询服务。</w:t>
      </w:r>
    </w:p>
    <w:p w14:paraId="4F5A04C8">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解决学校和或所在教学单位发展中重大问题、关键技术等。</w:t>
      </w:r>
    </w:p>
    <w:p w14:paraId="4B76557B">
      <w:pPr>
        <w:pStyle w:val="6"/>
        <w:spacing w:before="0" w:beforeAutospacing="0" w:after="0" w:afterAutospacing="0" w:line="560" w:lineRule="exact"/>
        <w:jc w:val="center"/>
        <w:rPr>
          <w:rFonts w:ascii="黑体" w:hAnsi="黑体" w:eastAsia="黑体"/>
          <w:sz w:val="32"/>
          <w:szCs w:val="32"/>
        </w:rPr>
      </w:pPr>
      <w:r>
        <w:rPr>
          <w:rFonts w:ascii="黑体" w:hAnsi="黑体" w:eastAsia="黑体"/>
          <w:sz w:val="32"/>
          <w:szCs w:val="32"/>
        </w:rPr>
        <w:t>第四章 管理与运行</w:t>
      </w:r>
    </w:p>
    <w:p w14:paraId="15BA2DF2">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科研团队负责人，需学风端正、学术造诣深，具有较好的科研工作基础和较强的科学研究能力，有主持市级以上科技研究项目2项以上，或主持到账累积10万元以上横向课题。</w:t>
      </w:r>
    </w:p>
    <w:p w14:paraId="5D06D290">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科研平台负责人由各教学单位提名，科研处审核备案。</w:t>
      </w:r>
    </w:p>
    <w:p w14:paraId="58DB7CA2">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科研平台在各自的研究方向上展开技术研发工作，制订明确的近、中、远期研究目标，使自身学术水平达到较高的水平。</w:t>
      </w:r>
    </w:p>
    <w:p w14:paraId="7749372D">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科研平台应形成相对稳定的研究团队和研究方向，科研平台人员的年龄、学历、职称等结构合理，并且吸收一定数量的青年教师参与。</w:t>
      </w:r>
    </w:p>
    <w:p w14:paraId="4ED6C1DE">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科研平台应积极申请各级各类科技项目和成果，积极开展成果转化和技术服务。</w:t>
      </w:r>
    </w:p>
    <w:p w14:paraId="1FD839B1">
      <w:pPr>
        <w:pStyle w:val="6"/>
        <w:spacing w:before="0" w:beforeAutospacing="0" w:after="0" w:afterAutospacing="0" w:line="560" w:lineRule="exact"/>
        <w:jc w:val="center"/>
        <w:rPr>
          <w:rFonts w:ascii="黑体" w:hAnsi="黑体" w:eastAsia="黑体"/>
          <w:sz w:val="32"/>
          <w:szCs w:val="32"/>
        </w:rPr>
      </w:pPr>
      <w:r>
        <w:rPr>
          <w:rFonts w:ascii="黑体" w:hAnsi="黑体" w:eastAsia="黑体"/>
          <w:sz w:val="32"/>
          <w:szCs w:val="32"/>
        </w:rPr>
        <w:t>第五章 保障条件</w:t>
      </w:r>
    </w:p>
    <w:p w14:paraId="4529FF30">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具有较好发展前景的科研平台，学院给予一定的硬件条件和建设经费支持，例如优先支持省财政专项申报。</w:t>
      </w:r>
    </w:p>
    <w:p w14:paraId="3D6B1100">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学院对科研平台每年提供一定的运行经费，具体数额由院长办公会议讨论决定。</w:t>
      </w:r>
    </w:p>
    <w:p w14:paraId="1131C6FF">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经费使用严格按照《吉林工程职业学院科研经费管理和使用办法（2024年修订）》执行。</w:t>
      </w:r>
    </w:p>
    <w:p w14:paraId="17A11E9C">
      <w:pPr>
        <w:pStyle w:val="6"/>
        <w:spacing w:before="0" w:beforeAutospacing="0" w:after="0" w:afterAutospacing="0" w:line="560" w:lineRule="exact"/>
        <w:jc w:val="center"/>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六</w:t>
      </w:r>
      <w:r>
        <w:rPr>
          <w:rFonts w:ascii="黑体" w:hAnsi="黑体" w:eastAsia="黑体"/>
          <w:sz w:val="32"/>
          <w:szCs w:val="32"/>
        </w:rPr>
        <w:t>章 附 则</w:t>
      </w:r>
    </w:p>
    <w:p w14:paraId="1B2006BD">
      <w:pPr>
        <w:pStyle w:val="6"/>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本办法自印发之日起开始实施。</w:t>
      </w:r>
    </w:p>
    <w:p w14:paraId="26C4E976">
      <w:pPr>
        <w:pStyle w:val="6"/>
        <w:spacing w:before="0" w:beforeAutospacing="0" w:after="0" w:afterAutospacing="0"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32"/>
        </w:rPr>
        <w:t>第二十条 本办法由科研处负责解释。</w:t>
      </w:r>
    </w:p>
    <w:p w14:paraId="5D307E0F">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sz w:val="32"/>
          <w:szCs w:val="24"/>
        </w:rPr>
      </w:pPr>
    </w:p>
    <w:p w14:paraId="6D8ADCF4">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吉林工程职业学院</w:t>
      </w:r>
    </w:p>
    <w:p w14:paraId="067C0749">
      <w:pPr>
        <w:keepNext w:val="0"/>
        <w:keepLines w:val="0"/>
        <w:pageBreakBefore w:val="0"/>
        <w:widowControl w:val="0"/>
        <w:kinsoku/>
        <w:wordWrap/>
        <w:overflowPunct/>
        <w:topLinePunct w:val="0"/>
        <w:autoSpaceDE/>
        <w:autoSpaceDN/>
        <w:bidi w:val="0"/>
        <w:adjustRightInd/>
        <w:snapToGrid/>
        <w:spacing w:line="560" w:lineRule="exact"/>
        <w:ind w:firstLine="540"/>
        <w:jc w:val="left"/>
        <w:textAlignment w:val="auto"/>
        <w:rPr>
          <w:rFonts w:hint="eastAsia"/>
        </w:rPr>
      </w:pPr>
      <w:r>
        <w:rPr>
          <w:rFonts w:hint="eastAsia" w:ascii="仿宋_GB2312" w:hAnsi="仿宋_GB2312" w:eastAsia="仿宋_GB2312" w:cs="仿宋_GB2312"/>
          <w:sz w:val="32"/>
          <w:szCs w:val="24"/>
        </w:rPr>
        <w:t xml:space="preserve">                        </w:t>
      </w:r>
      <w:r>
        <w:rPr>
          <w:rFonts w:hint="eastAsia" w:ascii="仿宋_GB2312" w:hAnsi="仿宋_GB2312" w:eastAsia="仿宋_GB2312" w:cs="仿宋_GB2312"/>
          <w:sz w:val="32"/>
          <w:szCs w:val="24"/>
          <w:lang w:val="en-US" w:eastAsia="zh-CN"/>
        </w:rPr>
        <w:t xml:space="preserve"> </w:t>
      </w:r>
      <w:r>
        <w:rPr>
          <w:rFonts w:hint="eastAsia" w:ascii="仿宋_GB2312" w:hAnsi="仿宋_GB2312" w:eastAsia="仿宋_GB2312" w:cs="仿宋_GB2312"/>
          <w:sz w:val="32"/>
          <w:szCs w:val="24"/>
        </w:rPr>
        <w:t xml:space="preserve"> </w:t>
      </w:r>
      <w:r>
        <w:rPr>
          <w:rFonts w:hint="eastAsia" w:ascii="仿宋_GB2312" w:hAnsi="仿宋_GB2312" w:eastAsia="仿宋_GB2312" w:cs="仿宋_GB2312"/>
          <w:sz w:val="32"/>
          <w:szCs w:val="24"/>
          <w:lang w:val="en-US" w:eastAsia="zh-CN"/>
        </w:rPr>
        <w:t xml:space="preserve">   </w:t>
      </w:r>
      <w:r>
        <w:rPr>
          <w:rFonts w:hint="eastAsia" w:ascii="仿宋_GB2312" w:hAnsi="仿宋_GB2312" w:eastAsia="仿宋_GB2312" w:cs="仿宋_GB2312"/>
          <w:sz w:val="32"/>
          <w:szCs w:val="24"/>
        </w:rPr>
        <w:t>2024年11月21日</w:t>
      </w:r>
    </w:p>
    <w:p w14:paraId="2357D9B9">
      <w:pPr>
        <w:ind w:firstLine="640"/>
        <w:rPr>
          <w:rFonts w:hint="eastAsia"/>
        </w:rPr>
      </w:pPr>
    </w:p>
    <w:tbl>
      <w:tblPr>
        <w:tblStyle w:val="7"/>
        <w:tblpPr w:leftFromText="180" w:rightFromText="180" w:vertAnchor="text" w:horzAnchor="page" w:tblpX="1967" w:tblpY="85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25"/>
      </w:tblGrid>
      <w:tr w14:paraId="7CB2724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8425" w:type="dxa"/>
            <w:tcBorders>
              <w:top w:val="single" w:color="auto" w:sz="4" w:space="0"/>
              <w:bottom w:val="single" w:color="auto" w:sz="4" w:space="0"/>
            </w:tcBorders>
            <w:noWrap w:val="0"/>
            <w:vAlign w:val="top"/>
          </w:tcPr>
          <w:p w14:paraId="56D1903B">
            <w:pPr>
              <w:spacing w:line="360" w:lineRule="auto"/>
              <w:ind w:firstLine="160" w:firstLineChars="50"/>
              <w:rPr>
                <w:rFonts w:hint="eastAsia" w:ascii="仿宋" w:hAnsi="仿宋" w:eastAsia="仿宋"/>
                <w:sz w:val="32"/>
                <w:szCs w:val="32"/>
              </w:rPr>
            </w:pPr>
            <w:bookmarkStart w:id="0" w:name="_GoBack"/>
            <w:bookmarkEnd w:id="0"/>
            <w:r>
              <w:rPr>
                <w:rFonts w:hint="eastAsia" w:ascii="仿宋" w:hAnsi="仿宋" w:eastAsia="仿宋"/>
                <w:sz w:val="32"/>
                <w:szCs w:val="32"/>
              </w:rPr>
              <w:t>吉林</w:t>
            </w:r>
            <w:r>
              <w:rPr>
                <w:rFonts w:hint="eastAsia" w:ascii="仿宋" w:hAnsi="仿宋" w:eastAsia="仿宋"/>
                <w:w w:val="97"/>
                <w:sz w:val="32"/>
                <w:szCs w:val="32"/>
              </w:rPr>
              <w:t>工程职业学院党政办公室</w:t>
            </w:r>
            <w:r>
              <w:rPr>
                <w:rFonts w:hint="eastAsia" w:ascii="仿宋" w:hAnsi="仿宋" w:eastAsia="仿宋"/>
                <w:w w:val="97"/>
                <w:sz w:val="32"/>
              </w:rPr>
              <w:t xml:space="preserve">      </w:t>
            </w:r>
            <w:r>
              <w:rPr>
                <w:rFonts w:hint="eastAsia" w:ascii="仿宋" w:hAnsi="仿宋" w:eastAsia="仿宋"/>
                <w:w w:val="97"/>
                <w:sz w:val="32"/>
                <w:lang w:val="en-US" w:eastAsia="zh-CN"/>
              </w:rPr>
              <w:t>2024</w:t>
            </w:r>
            <w:r>
              <w:rPr>
                <w:rFonts w:hint="eastAsia" w:ascii="仿宋" w:hAnsi="仿宋" w:eastAsia="仿宋"/>
                <w:w w:val="97"/>
                <w:sz w:val="32"/>
              </w:rPr>
              <w:t>年</w:t>
            </w:r>
            <w:r>
              <w:rPr>
                <w:rFonts w:hint="eastAsia" w:ascii="仿宋" w:hAnsi="仿宋" w:eastAsia="仿宋"/>
                <w:w w:val="97"/>
                <w:sz w:val="32"/>
                <w:lang w:val="en-US" w:eastAsia="zh-CN"/>
              </w:rPr>
              <w:t>11</w:t>
            </w:r>
            <w:r>
              <w:rPr>
                <w:rFonts w:hint="eastAsia" w:ascii="仿宋" w:hAnsi="仿宋" w:eastAsia="仿宋"/>
                <w:w w:val="97"/>
                <w:sz w:val="32"/>
              </w:rPr>
              <w:t>月</w:t>
            </w:r>
            <w:r>
              <w:rPr>
                <w:rFonts w:hint="eastAsia" w:ascii="仿宋" w:hAnsi="仿宋" w:eastAsia="仿宋"/>
                <w:w w:val="97"/>
                <w:sz w:val="32"/>
                <w:lang w:val="en-US" w:eastAsia="zh-CN"/>
              </w:rPr>
              <w:t>21</w:t>
            </w:r>
            <w:r>
              <w:rPr>
                <w:rFonts w:hint="eastAsia" w:ascii="仿宋" w:hAnsi="仿宋" w:eastAsia="仿宋"/>
                <w:w w:val="97"/>
                <w:sz w:val="32"/>
              </w:rPr>
              <w:t>日印发</w:t>
            </w:r>
          </w:p>
        </w:tc>
      </w:tr>
    </w:tbl>
    <w:p w14:paraId="410C1A08">
      <w:pPr>
        <w:pStyle w:val="6"/>
        <w:spacing w:before="0" w:beforeAutospacing="0" w:after="0" w:afterAutospacing="0" w:line="560" w:lineRule="exact"/>
        <w:rPr>
          <w:rFonts w:hint="eastAsia" w:ascii="仿宋_GB2312" w:hAnsi="仿宋_GB2312" w:eastAsia="仿宋_GB2312" w:cs="仿宋_GB2312"/>
          <w:sz w:val="32"/>
          <w:szCs w:val="32"/>
        </w:rPr>
      </w:pPr>
    </w:p>
    <w:sectPr>
      <w:headerReference r:id="rId3" w:type="default"/>
      <w:footerReference r:id="rId4" w:type="default"/>
      <w:pgSz w:w="11906" w:h="16838"/>
      <w:pgMar w:top="1984"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宋体-方正超大字符集">
    <w:altName w:val="微软雅黑"/>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081EE">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C54AC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16C54AC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17E48">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MDhlZGJhNTc3MGI5ZmMyZDhlYmEwODUzNWYyOGIifQ=="/>
  </w:docVars>
  <w:rsids>
    <w:rsidRoot w:val="00EF6358"/>
    <w:rsid w:val="0010306E"/>
    <w:rsid w:val="001804A6"/>
    <w:rsid w:val="00323513"/>
    <w:rsid w:val="00470A79"/>
    <w:rsid w:val="004A34FB"/>
    <w:rsid w:val="004C35F7"/>
    <w:rsid w:val="005437F4"/>
    <w:rsid w:val="00582162"/>
    <w:rsid w:val="00592922"/>
    <w:rsid w:val="005A00E7"/>
    <w:rsid w:val="006843E0"/>
    <w:rsid w:val="00732135"/>
    <w:rsid w:val="00743BE0"/>
    <w:rsid w:val="0074738B"/>
    <w:rsid w:val="0095559D"/>
    <w:rsid w:val="009F3092"/>
    <w:rsid w:val="00A03FFB"/>
    <w:rsid w:val="00AA6A7C"/>
    <w:rsid w:val="00B02E43"/>
    <w:rsid w:val="00B11899"/>
    <w:rsid w:val="00B20E20"/>
    <w:rsid w:val="00B55EF5"/>
    <w:rsid w:val="00C07A7C"/>
    <w:rsid w:val="00C809B2"/>
    <w:rsid w:val="00C9059A"/>
    <w:rsid w:val="00CA373A"/>
    <w:rsid w:val="00CA552D"/>
    <w:rsid w:val="00D14ABB"/>
    <w:rsid w:val="00EC5884"/>
    <w:rsid w:val="00EF6358"/>
    <w:rsid w:val="4D653C14"/>
    <w:rsid w:val="68D4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pageBreakBefore/>
      <w:spacing w:beforeLines="50" w:afterLines="50" w:line="240" w:lineRule="auto"/>
      <w:ind w:firstLine="0" w:firstLineChars="0"/>
      <w:jc w:val="center"/>
      <w:outlineLvl w:val="1"/>
    </w:pPr>
    <w:rPr>
      <w:rFonts w:ascii="Cambria" w:hAnsi="Cambria" w:eastAsia="方正小标宋简体" w:cs="宋体"/>
      <w:bCs/>
      <w:kern w:val="0"/>
      <w:sz w:val="28"/>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page number"/>
    <w:basedOn w:val="8"/>
    <w:qFormat/>
    <w:uiPriority w:val="0"/>
  </w:style>
  <w:style w:type="character" w:customStyle="1" w:styleId="11">
    <w:name w:val="批注框文本 字符"/>
    <w:basedOn w:val="8"/>
    <w:link w:val="3"/>
    <w:semiHidden/>
    <w:uiPriority w:val="99"/>
    <w:rPr>
      <w:sz w:val="18"/>
      <w:szCs w:val="18"/>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Pages>
  <Words>1565</Words>
  <Characters>1569</Characters>
  <Lines>11</Lines>
  <Paragraphs>3</Paragraphs>
  <TotalTime>2</TotalTime>
  <ScaleCrop>false</ScaleCrop>
  <LinksUpToDate>false</LinksUpToDate>
  <CharactersWithSpaces>1597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2024-11-05T08:22:00Z</dcterms:created>
  <dc:creator>User</dc:creator>
  <cp:lastModifiedBy>于嘉悦新号</cp:lastModifiedBy>
  <cp:lastPrinted>2024-11-05T08:22:00Z</cp:lastPrinted>
  <dcterms:modified xsi:type="dcterms:W3CDTF">2024-11-21T09:30:19Z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CEB2911450A144ED8CDF1B38D93A7BF3_13</vt:lpwstr>
  </property>
</Properties>
</file>