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bookmarkStart w:id="7" w:name="_GoBack"/>
      <w:bookmarkEnd w:id="7"/>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r>
        <w:rPr>
          <w:rFonts w:hint="eastAsia" w:ascii="华文中宋" w:hAnsi="华文中宋" w:eastAsia="华文中宋"/>
          <w:b/>
          <w:sz w:val="48"/>
          <w:szCs w:val="48"/>
        </w:rPr>
        <w:t>中国高校产学研创新基金</w:t>
      </w:r>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宋体" w:hAnsi="宋体" w:cs="微软雅黑"/>
          <w:b/>
          <w:color w:val="000000"/>
          <w:kern w:val="0"/>
          <w:sz w:val="30"/>
          <w:szCs w:val="30"/>
        </w:rPr>
      </w:pPr>
      <w:r>
        <w:rPr>
          <w:rFonts w:ascii="宋体" w:hAnsi="宋体" w:cs="微软雅黑"/>
          <w:b/>
          <w:color w:val="000000"/>
          <w:kern w:val="0"/>
          <w:sz w:val="30"/>
          <w:szCs w:val="30"/>
        </w:rPr>
        <w:t>课题类型</w:t>
      </w:r>
      <w:r>
        <w:rPr>
          <w:rFonts w:hint="eastAsia" w:ascii="宋体" w:hAnsi="宋体" w:cs="微软雅黑"/>
          <w:b/>
          <w:color w:val="000000"/>
          <w:kern w:val="0"/>
          <w:sz w:val="30"/>
          <w:szCs w:val="30"/>
        </w:rPr>
        <w:t>：北创助教项目（二期）</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ind w:left="102" w:hanging="102" w:hangingChars="34"/>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kern w:val="0"/>
          <w:sz w:val="30"/>
          <w:szCs w:val="30"/>
        </w:rPr>
      </w:pPr>
      <w:r>
        <w:rPr>
          <w:rFonts w:hint="eastAsia" w:ascii="宋体" w:hAnsi="宋体" w:cs="微软雅黑"/>
          <w:b/>
          <w:color w:val="000000"/>
          <w:kern w:val="0"/>
          <w:sz w:val="30"/>
          <w:szCs w:val="30"/>
        </w:rPr>
        <w:t>20</w:t>
      </w:r>
      <w:r>
        <w:rPr>
          <w:rFonts w:ascii="宋体" w:hAnsi="宋体" w:cs="微软雅黑"/>
          <w:b/>
          <w:color w:val="000000"/>
          <w:kern w:val="0"/>
          <w:sz w:val="30"/>
          <w:szCs w:val="30"/>
        </w:rPr>
        <w:t>2</w:t>
      </w:r>
      <w:r>
        <w:rPr>
          <w:rFonts w:hint="eastAsia" w:ascii="宋体" w:hAnsi="宋体" w:cs="微软雅黑"/>
          <w:b/>
          <w:color w:val="000000"/>
          <w:kern w:val="0"/>
          <w:sz w:val="30"/>
          <w:szCs w:val="30"/>
        </w:rPr>
        <w:t>1年10月制</w:t>
      </w:r>
      <w:bookmarkStart w:id="2" w:name="_Toc494139711"/>
    </w:p>
    <w:p>
      <w:pPr>
        <w:autoSpaceDE w:val="0"/>
        <w:spacing w:after="156" w:afterLines="50" w:line="560" w:lineRule="exact"/>
        <w:jc w:val="center"/>
        <w:rPr>
          <w:rFonts w:ascii="宋体" w:hAnsi="宋体"/>
          <w:b/>
          <w:sz w:val="28"/>
          <w:szCs w:val="28"/>
        </w:rPr>
      </w:pPr>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978" w:hRule="atLeast"/>
        </w:trPr>
        <w:tc>
          <w:tcPr>
            <w:tcW w:w="569" w:type="dxa"/>
            <w:vMerge w:val="restart"/>
            <w:tcBorders>
              <w:top w:val="single" w:color="auto" w:sz="4" w:space="0"/>
              <w:left w:val="single" w:color="auto" w:sz="4" w:space="0"/>
              <w:right w:val="single" w:color="auto" w:sz="4" w:space="0"/>
            </w:tcBorders>
            <w:noWrap w:val="0"/>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53" w:hRule="atLeast"/>
        </w:trPr>
        <w:tc>
          <w:tcPr>
            <w:tcW w:w="569" w:type="dxa"/>
            <w:vMerge w:val="continue"/>
            <w:tcBorders>
              <w:top w:val="single" w:color="auto" w:sz="4" w:space="0"/>
              <w:left w:val="single" w:color="auto" w:sz="4" w:space="0"/>
              <w:right w:val="single" w:color="auto" w:sz="4" w:space="0"/>
            </w:tcBorders>
            <w:noWrap w:val="0"/>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ascii="宋体" w:hAnsi="宋体"/>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ind w:firstLine="1200" w:firstLineChars="500"/>
              <w:jc w:val="left"/>
              <w:rPr>
                <w:rFonts w:ascii="宋体" w:hAnsi="宋体"/>
                <w:bCs/>
                <w:sz w:val="24"/>
              </w:rPr>
            </w:pP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r>
              <w:rPr>
                <w:rFonts w:hint="eastAsia" w:ascii="宋体" w:hAnsi="宋体"/>
                <w:bCs/>
                <w:sz w:val="24"/>
              </w:rPr>
              <w:t xml:space="preserve"> </w:t>
            </w:r>
            <w:r>
              <w:rPr>
                <w:rFonts w:ascii="宋体" w:hAnsi="宋体"/>
                <w:bCs/>
                <w:sz w:val="24"/>
              </w:rPr>
              <w:t>至</w:t>
            </w:r>
            <w:r>
              <w:rPr>
                <w:rFonts w:hint="eastAsia" w:ascii="宋体" w:hAnsi="宋体"/>
                <w:bCs/>
                <w:sz w:val="24"/>
              </w:rPr>
              <w:t xml:space="preserve">     </w:t>
            </w: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课题</w:t>
            </w:r>
            <w:r>
              <w:rPr>
                <w:rFonts w:ascii="宋体" w:hAnsi="宋体"/>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rPr>
            </w:pPr>
            <w:r>
              <w:rPr>
                <w:rFonts w:hint="eastAsia" w:ascii="宋体" w:hAnsi="宋体"/>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restart"/>
            <w:tcBorders>
              <w:top w:val="single" w:color="auto" w:sz="4" w:space="0"/>
              <w:left w:val="single" w:color="auto" w:sz="4" w:space="0"/>
              <w:right w:val="single" w:color="auto" w:sz="4" w:space="0"/>
            </w:tcBorders>
            <w:noWrap w:val="0"/>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姓    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ascii="宋体" w:hAnsi="宋体"/>
                <w:sz w:val="24"/>
              </w:rPr>
              <w:t>性</w:t>
            </w:r>
            <w:r>
              <w:rPr>
                <w:rFonts w:hint="eastAsia" w:ascii="宋体" w:hAnsi="宋体"/>
                <w:sz w:val="24"/>
              </w:rPr>
              <w:t xml:space="preserve">    </w:t>
            </w:r>
            <w:r>
              <w:rPr>
                <w:rFonts w:ascii="宋体" w:hAnsi="宋体"/>
                <w:sz w:val="24"/>
              </w:rPr>
              <w:t>别</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出生日期</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ascii="宋体" w:hAnsi="宋体"/>
                <w:sz w:val="24"/>
              </w:rPr>
              <w:t>最终学位</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ascii="宋体" w:hAnsi="宋体"/>
                <w:sz w:val="24"/>
              </w:rPr>
              <w:t>技术职称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r>
              <w:rPr>
                <w:rFonts w:ascii="宋体" w:hAnsi="宋体"/>
                <w:bCs/>
                <w:sz w:val="24"/>
              </w:rPr>
              <w:t>行政职务</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专业名称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r>
              <w:rPr>
                <w:rFonts w:ascii="宋体" w:hAnsi="宋体"/>
                <w:bCs/>
                <w:sz w:val="24"/>
              </w:rPr>
              <w:t>手</w:t>
            </w:r>
            <w:r>
              <w:rPr>
                <w:rFonts w:hint="eastAsia" w:ascii="宋体" w:hAnsi="宋体"/>
                <w:bCs/>
                <w:sz w:val="24"/>
              </w:rPr>
              <w:t xml:space="preserve"> </w:t>
            </w:r>
            <w:r>
              <w:rPr>
                <w:rFonts w:ascii="宋体" w:hAnsi="宋体"/>
                <w:bCs/>
                <w:sz w:val="24"/>
              </w:rPr>
              <w:t>机</w:t>
            </w:r>
            <w:r>
              <w:rPr>
                <w:rFonts w:hint="eastAsia" w:ascii="宋体" w:hAnsi="宋体"/>
                <w:bCs/>
                <w:sz w:val="24"/>
              </w:rPr>
              <w:t xml:space="preserve"> </w:t>
            </w:r>
            <w:r>
              <w:rPr>
                <w:rFonts w:ascii="宋体" w:hAnsi="宋体"/>
                <w:bCs/>
                <w:sz w:val="24"/>
              </w:rPr>
              <w:t>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right w:val="single" w:color="auto" w:sz="4" w:space="0"/>
            </w:tcBorders>
            <w:noWrap w:val="0"/>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ascii="宋体" w:hAnsi="宋体"/>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left w:val="single" w:color="auto" w:sz="4" w:space="0"/>
              <w:bottom w:val="single" w:color="auto" w:sz="4" w:space="0"/>
              <w:right w:val="single" w:color="auto" w:sz="4" w:space="0"/>
            </w:tcBorders>
            <w:noWrap w:val="0"/>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top w:val="nil"/>
              <w:left w:val="single" w:color="auto" w:sz="4" w:space="0"/>
              <w:bottom w:val="single" w:color="auto" w:sz="4" w:space="0"/>
              <w:right w:val="single" w:color="auto" w:sz="4" w:space="0"/>
            </w:tcBorders>
            <w:noWrap w:val="0"/>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top w:val="nil"/>
              <w:left w:val="single" w:color="auto" w:sz="4" w:space="0"/>
              <w:bottom w:val="single" w:color="auto" w:sz="4" w:space="0"/>
              <w:right w:val="single" w:color="auto" w:sz="4" w:space="0"/>
            </w:tcBorders>
            <w:noWrap w:val="0"/>
            <w:vAlign w:val="center"/>
          </w:tcPr>
          <w:p>
            <w:pPr>
              <w:jc w:val="center"/>
              <w:rPr>
                <w:sz w:val="24"/>
              </w:rPr>
            </w:pPr>
          </w:p>
        </w:tc>
        <w:tc>
          <w:tcPr>
            <w:tcW w:w="1701" w:type="dxa"/>
            <w:vMerge w:val="restart"/>
            <w:tcBorders>
              <w:top w:val="sing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ascii="宋体" w:hAnsi="宋体"/>
                <w:bCs/>
                <w:sz w:val="24"/>
              </w:rPr>
            </w:pPr>
            <w:r>
              <w:rPr>
                <w:rFonts w:hint="eastAsia" w:ascii="宋体" w:hAnsi="宋体"/>
                <w:bCs/>
                <w:sz w:val="24"/>
              </w:rPr>
              <w:t xml:space="preserve"> </w:t>
            </w:r>
            <w:r>
              <w:rPr>
                <w:rFonts w:ascii="宋体" w:hAnsi="宋体"/>
                <w:bCs/>
                <w:sz w:val="24"/>
              </w:rPr>
              <w:t>普通本科</w:t>
            </w:r>
            <w:r>
              <w:rPr>
                <w:rFonts w:hint="eastAsia" w:ascii="宋体" w:hAnsi="宋体"/>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10" w:hRule="atLeast"/>
        </w:trPr>
        <w:tc>
          <w:tcPr>
            <w:tcW w:w="569" w:type="dxa"/>
            <w:vMerge w:val="continue"/>
            <w:tcBorders>
              <w:top w:val="nil"/>
              <w:left w:val="single" w:color="auto" w:sz="4" w:space="0"/>
              <w:bottom w:val="single" w:color="auto" w:sz="4" w:space="0"/>
              <w:right w:val="single" w:color="auto" w:sz="4" w:space="0"/>
            </w:tcBorders>
            <w:noWrap w:val="0"/>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23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rPr>
            </w:pPr>
            <w:r>
              <w:rPr>
                <w:rFonts w:ascii="宋体" w:hAnsi="宋体"/>
                <w:sz w:val="24"/>
              </w:rPr>
              <w:t>□</w:t>
            </w:r>
            <w:r>
              <w:rPr>
                <w:rFonts w:hint="eastAsia" w:ascii="宋体" w:hAnsi="宋体"/>
                <w:sz w:val="24"/>
              </w:rPr>
              <w:t xml:space="preserve">  高职高专类</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5235" w:hRule="atLeast"/>
        </w:trPr>
        <w:tc>
          <w:tcPr>
            <w:tcW w:w="8507" w:type="dxa"/>
            <w:gridSpan w:val="5"/>
            <w:tcBorders>
              <w:left w:val="single" w:color="auto" w:sz="4" w:space="0"/>
              <w:bottom w:val="single" w:color="auto" w:sz="4" w:space="0"/>
              <w:right w:val="single" w:color="auto" w:sz="4" w:space="0"/>
            </w:tcBorders>
            <w:noWrap w:val="0"/>
            <w:vAlign w:val="top"/>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156"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51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45" w:lineRule="atLeast"/>
              <w:jc w:val="center"/>
              <w:rPr>
                <w:rFonts w:ascii="宋体" w:hAnsi="宋体"/>
                <w:szCs w:val="21"/>
              </w:rPr>
            </w:pPr>
          </w:p>
        </w:tc>
      </w:tr>
    </w:tbl>
    <w:p/>
    <w:p>
      <w:pPr>
        <w:pStyle w:val="27"/>
        <w:spacing w:before="0" w:after="156"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trPr>
        <w:tc>
          <w:tcPr>
            <w:tcW w:w="88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3" w:hRule="atLeast"/>
        </w:trPr>
        <w:tc>
          <w:tcPr>
            <w:tcW w:w="8897"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4" w:hRule="atLeast"/>
        </w:trPr>
        <w:tc>
          <w:tcPr>
            <w:tcW w:w="88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4" w:hRule="atLeast"/>
        </w:trPr>
        <w:tc>
          <w:tcPr>
            <w:tcW w:w="8897"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6" w:hRule="atLeast"/>
        </w:trPr>
        <w:tc>
          <w:tcPr>
            <w:tcW w:w="8897" w:type="dxa"/>
            <w:tcBorders>
              <w:top w:val="single" w:color="auto" w:sz="4" w:space="0"/>
            </w:tcBorders>
            <w:noWrap w:val="0"/>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66" w:hRule="atLeast"/>
        </w:trPr>
        <w:tc>
          <w:tcPr>
            <w:tcW w:w="8897" w:type="dxa"/>
            <w:tcBorders>
              <w:top w:val="single" w:color="auto" w:sz="4" w:space="0"/>
            </w:tcBorders>
            <w:noWrap w:val="0"/>
            <w:vAlign w:val="top"/>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7" w:hRule="atLeast"/>
        </w:trPr>
        <w:tc>
          <w:tcPr>
            <w:tcW w:w="8897" w:type="dxa"/>
            <w:noWrap w:val="0"/>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color w:val="000000"/>
                <w:szCs w:val="21"/>
              </w:rPr>
            </w:pPr>
            <w:r>
              <w:rPr>
                <w:rFonts w:hint="eastAsia" w:ascii="宋体" w:hAnsi="宋体"/>
                <w:szCs w:val="21"/>
              </w:rPr>
              <w:t>1.</w:t>
            </w:r>
            <w:r>
              <w:rPr>
                <w:rFonts w:hint="eastAsia" w:ascii="宋体" w:hAnsi="宋体"/>
                <w:color w:val="000000"/>
                <w:szCs w:val="21"/>
              </w:rPr>
              <w:t>详细说明本课题资助经费的使用计划；</w:t>
            </w:r>
          </w:p>
          <w:p>
            <w:pPr>
              <w:spacing w:line="360" w:lineRule="exact"/>
              <w:rPr>
                <w:rFonts w:ascii="宋体" w:hAnsi="宋体"/>
                <w:color w:val="000000"/>
                <w:szCs w:val="21"/>
              </w:rPr>
            </w:pPr>
            <w:r>
              <w:rPr>
                <w:rFonts w:ascii="宋体" w:hAnsi="宋体"/>
                <w:color w:val="000000"/>
                <w:szCs w:val="21"/>
              </w:rPr>
              <w:t>2</w:t>
            </w:r>
            <w:r>
              <w:rPr>
                <w:rFonts w:hint="eastAsia" w:ascii="宋体" w:hAnsi="宋体"/>
                <w:color w:val="000000"/>
                <w:szCs w:val="21"/>
              </w:rPr>
              <w:t>.科研条件建设计划：说明未来两年内高校在</w:t>
            </w:r>
            <w:r>
              <w:rPr>
                <w:rFonts w:hint="eastAsia" w:ascii="宋体" w:hAnsi="宋体"/>
                <w:sz w:val="24"/>
              </w:rPr>
              <w:t>量子计算</w:t>
            </w:r>
            <w:r>
              <w:rPr>
                <w:rFonts w:ascii="宋体" w:hAnsi="宋体"/>
                <w:sz w:val="24"/>
              </w:rPr>
              <w:t>、</w:t>
            </w:r>
            <w:r>
              <w:rPr>
                <w:rFonts w:hint="eastAsia" w:ascii="宋体" w:hAnsi="宋体"/>
                <w:sz w:val="24"/>
              </w:rPr>
              <w:t>人工智能</w:t>
            </w:r>
            <w:r>
              <w:rPr>
                <w:rFonts w:ascii="宋体" w:hAnsi="宋体"/>
                <w:sz w:val="24"/>
              </w:rPr>
              <w:t>、</w:t>
            </w:r>
            <w:r>
              <w:rPr>
                <w:rFonts w:hint="eastAsia" w:ascii="宋体" w:hAnsi="宋体"/>
                <w:sz w:val="24"/>
              </w:rPr>
              <w:t>轨道交通</w:t>
            </w:r>
            <w:r>
              <w:rPr>
                <w:rFonts w:ascii="宋体" w:hAnsi="宋体"/>
                <w:sz w:val="24"/>
              </w:rPr>
              <w:t>、</w:t>
            </w:r>
            <w:r>
              <w:rPr>
                <w:rFonts w:hint="eastAsia" w:ascii="宋体" w:hAnsi="宋体"/>
                <w:sz w:val="24"/>
              </w:rPr>
              <w:t>智慧财务</w:t>
            </w:r>
            <w:r>
              <w:rPr>
                <w:rFonts w:ascii="宋体" w:hAnsi="宋体"/>
                <w:sz w:val="24"/>
              </w:rPr>
              <w:t>、</w:t>
            </w:r>
            <w:r>
              <w:rPr>
                <w:rFonts w:hint="eastAsia" w:ascii="宋体" w:hAnsi="宋体"/>
                <w:sz w:val="24"/>
              </w:rPr>
              <w:t>智能建筑</w:t>
            </w:r>
            <w:r>
              <w:rPr>
                <w:rFonts w:ascii="宋体" w:hAnsi="宋体"/>
                <w:sz w:val="24"/>
              </w:rPr>
              <w:t>、</w:t>
            </w:r>
            <w:r>
              <w:rPr>
                <w:rFonts w:hint="eastAsia" w:ascii="宋体" w:hAnsi="宋体"/>
                <w:sz w:val="24"/>
              </w:rPr>
              <w:t>社会科学</w:t>
            </w:r>
            <w:r>
              <w:rPr>
                <w:rFonts w:ascii="宋体" w:hAnsi="宋体"/>
                <w:sz w:val="24"/>
              </w:rPr>
              <w:t>、</w:t>
            </w:r>
            <w:r>
              <w:rPr>
                <w:rFonts w:hint="eastAsia" w:ascii="宋体" w:hAnsi="宋体"/>
                <w:sz w:val="24"/>
              </w:rPr>
              <w:t>国际化人才培养</w:t>
            </w:r>
            <w:r>
              <w:rPr>
                <w:rFonts w:hint="eastAsia" w:ascii="宋体" w:hAnsi="宋体"/>
                <w:color w:val="000000"/>
                <w:szCs w:val="21"/>
              </w:rPr>
              <w:t>等方向的相关科研条件投建计划，新建原因、经费预算、建设内容、经费来源、建设目标；</w:t>
            </w:r>
          </w:p>
          <w:p>
            <w:pPr>
              <w:spacing w:line="360" w:lineRule="exact"/>
              <w:rPr>
                <w:rFonts w:ascii="宋体" w:hAnsi="宋体"/>
                <w:szCs w:val="21"/>
              </w:rPr>
            </w:pPr>
            <w:r>
              <w:rPr>
                <w:rFonts w:ascii="宋体" w:hAnsi="宋体"/>
                <w:color w:val="000000"/>
                <w:szCs w:val="21"/>
              </w:rPr>
              <w:t>3</w:t>
            </w:r>
            <w:r>
              <w:rPr>
                <w:rFonts w:hint="eastAsia" w:ascii="宋体" w:hAnsi="宋体"/>
                <w:color w:val="000000"/>
                <w:szCs w:val="21"/>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trPr>
        <w:tc>
          <w:tcPr>
            <w:tcW w:w="8897" w:type="dxa"/>
            <w:noWrap w:val="0"/>
            <w:vAlign w:val="top"/>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sz w:val="28"/>
          <w:szCs w:val="28"/>
        </w:rPr>
      </w:pPr>
      <w:bookmarkStart w:id="5" w:name="_Toc494139717"/>
      <w:r>
        <w:rPr>
          <w:rFonts w:ascii="宋体" w:hAnsi="宋体" w:eastAsia="宋体"/>
          <w:b/>
          <w:bCs w:val="0"/>
          <w:sz w:val="28"/>
          <w:szCs w:val="28"/>
        </w:rPr>
        <w:t>七</w:t>
      </w:r>
      <w:r>
        <w:rPr>
          <w:rFonts w:hint="eastAsia" w:ascii="宋体" w:hAnsi="宋体" w:eastAsia="宋体"/>
          <w:b/>
          <w:bCs w:val="0"/>
          <w:sz w:val="28"/>
          <w:szCs w:val="28"/>
        </w:rPr>
        <w:t>、</w:t>
      </w:r>
      <w:r>
        <w:rPr>
          <w:rFonts w:hint="eastAsia" w:ascii="宋体" w:hAnsi="宋体" w:eastAsia="宋体"/>
          <w:b/>
          <w:sz w:val="28"/>
          <w:szCs w:val="28"/>
        </w:rPr>
        <w:t>课题资助的软硬件平台备选择</w:t>
      </w:r>
      <w:bookmarkEnd w:id="5"/>
    </w:p>
    <w:p>
      <w:pPr>
        <w:jc w:val="center"/>
        <w:rPr>
          <w:color w:val="000000"/>
        </w:rPr>
      </w:pPr>
      <w:r>
        <w:rPr>
          <w:rFonts w:hint="eastAsia"/>
          <w:color w:val="000000"/>
        </w:rPr>
        <w:t>（可多选；如有特殊需求，可附页文字说明）</w:t>
      </w:r>
    </w:p>
    <w:tbl>
      <w:tblPr>
        <w:tblStyle w:val="20"/>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09"/>
        <w:gridCol w:w="496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trPr>
        <w:tc>
          <w:tcPr>
            <w:tcW w:w="710" w:type="dxa"/>
            <w:shd w:val="clear" w:color="000000" w:fill="C0C0C0"/>
            <w:noWrap w:val="0"/>
            <w:vAlign w:val="center"/>
          </w:tcPr>
          <w:p>
            <w:pPr>
              <w:jc w:val="center"/>
              <w:rPr>
                <w:rFonts w:ascii="宋体" w:hAnsi="宋体"/>
                <w:b/>
                <w:color w:val="FF0000"/>
                <w:szCs w:val="21"/>
                <w:highlight w:val="yellow"/>
              </w:rPr>
            </w:pPr>
            <w:r>
              <w:rPr>
                <w:rFonts w:hint="eastAsia" w:ascii="宋体" w:hAnsi="宋体"/>
                <w:b/>
                <w:szCs w:val="21"/>
              </w:rPr>
              <w:t>技术编号</w:t>
            </w:r>
          </w:p>
        </w:tc>
        <w:tc>
          <w:tcPr>
            <w:tcW w:w="2409" w:type="dxa"/>
            <w:shd w:val="clear" w:color="000000" w:fill="C0C0C0"/>
            <w:noWrap w:val="0"/>
            <w:vAlign w:val="center"/>
          </w:tcPr>
          <w:p>
            <w:pPr>
              <w:jc w:val="center"/>
              <w:rPr>
                <w:rFonts w:ascii="宋体" w:hAnsi="宋体"/>
                <w:b/>
                <w:color w:val="FF0000"/>
                <w:szCs w:val="21"/>
                <w:highlight w:val="yellow"/>
              </w:rPr>
            </w:pPr>
            <w:r>
              <w:rPr>
                <w:rFonts w:hint="eastAsia" w:ascii="宋体" w:hAnsi="宋体"/>
                <w:b/>
                <w:szCs w:val="21"/>
              </w:rPr>
              <w:t>服务名称</w:t>
            </w:r>
          </w:p>
        </w:tc>
        <w:tc>
          <w:tcPr>
            <w:tcW w:w="4962" w:type="dxa"/>
            <w:shd w:val="clear" w:color="000000" w:fill="C0C0C0"/>
            <w:noWrap w:val="0"/>
            <w:vAlign w:val="center"/>
          </w:tcPr>
          <w:p>
            <w:pPr>
              <w:jc w:val="center"/>
              <w:rPr>
                <w:rFonts w:ascii="宋体" w:hAnsi="宋体"/>
                <w:b/>
                <w:color w:val="FF0000"/>
                <w:szCs w:val="21"/>
                <w:highlight w:val="yellow"/>
              </w:rPr>
            </w:pPr>
            <w:r>
              <w:rPr>
                <w:rFonts w:hint="eastAsia" w:ascii="宋体" w:hAnsi="宋体"/>
                <w:b/>
                <w:szCs w:val="21"/>
              </w:rPr>
              <w:t>详细介绍</w:t>
            </w:r>
          </w:p>
        </w:tc>
        <w:tc>
          <w:tcPr>
            <w:tcW w:w="992" w:type="dxa"/>
            <w:shd w:val="clear" w:color="000000" w:fill="C0C0C0"/>
            <w:noWrap w:val="0"/>
            <w:vAlign w:val="center"/>
          </w:tcPr>
          <w:p>
            <w:pPr>
              <w:jc w:val="center"/>
              <w:rPr>
                <w:rFonts w:ascii="宋体" w:hAnsi="宋体"/>
                <w:b/>
                <w:color w:val="000000"/>
                <w:sz w:val="22"/>
                <w:szCs w:val="22"/>
              </w:rPr>
            </w:pPr>
            <w:r>
              <w:rPr>
                <w:rFonts w:hint="eastAsia" w:ascii="宋体" w:hAnsi="宋体"/>
                <w:b/>
                <w:color w:val="000000"/>
                <w:sz w:val="22"/>
                <w:szCs w:val="22"/>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A</w:t>
            </w:r>
            <w:r>
              <w:rPr>
                <w:rFonts w:ascii="宋体" w:hAnsi="宋体"/>
                <w:sz w:val="20"/>
                <w:szCs w:val="20"/>
              </w:rPr>
              <w:t>01</w:t>
            </w:r>
          </w:p>
        </w:tc>
        <w:tc>
          <w:tcPr>
            <w:tcW w:w="2409" w:type="dxa"/>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全物理体系量子计算学习机</w:t>
            </w:r>
          </w:p>
        </w:tc>
        <w:tc>
          <w:tcPr>
            <w:tcW w:w="4962" w:type="dxa"/>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专为量子计算人才培养，量子计算行业学习、量子计算从业人员应用、量子计算科研人员研究而设计的完整的生态环境，包含：一套具备3D效果的量子计算虚拟实验室，一套量子计算微课堂，一套量子计算GUI编程和量子计算模拟的虚拟机、一个可提供解惑/分享的量子开源社区</w:t>
            </w:r>
            <w:r>
              <w:rPr>
                <w:rFonts w:ascii="宋体" w:hAnsi="宋体"/>
                <w:sz w:val="20"/>
                <w:szCs w:val="20"/>
              </w:rPr>
              <w:t>，</w:t>
            </w:r>
            <w:r>
              <w:rPr>
                <w:rFonts w:hint="eastAsia" w:ascii="宋体" w:hAnsi="宋体"/>
                <w:sz w:val="20"/>
                <w:szCs w:val="20"/>
              </w:rPr>
              <w:t>包括教学、编程、开发、验证、应用等功能。</w:t>
            </w:r>
          </w:p>
        </w:tc>
        <w:tc>
          <w:tcPr>
            <w:tcW w:w="992" w:type="dxa"/>
            <w:noWrap w:val="0"/>
            <w:vAlign w:val="center"/>
          </w:tcPr>
          <w:p>
            <w:pPr>
              <w:jc w:val="center"/>
              <w:rPr>
                <w:rFonts w:ascii="宋体" w:hAnsi="宋体"/>
                <w:color w:val="000000"/>
                <w:sz w:val="24"/>
              </w:rP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84" w:hRule="atLeast"/>
        </w:trPr>
        <w:tc>
          <w:tcPr>
            <w:tcW w:w="710" w:type="dxa"/>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A02</w:t>
            </w:r>
          </w:p>
        </w:tc>
        <w:tc>
          <w:tcPr>
            <w:tcW w:w="2409" w:type="dxa"/>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量子计算云服务平台</w:t>
            </w:r>
          </w:p>
        </w:tc>
        <w:tc>
          <w:tcPr>
            <w:tcW w:w="4962" w:type="dxa"/>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含真实量子计算云、仿真开发训练云、应用推广云、科普教育云以及量子社区云，分别对应真实量子计算、量子计算模拟训练、量子应用产品开发、量子计算科普教育、量子计算交流分享等服务。</w:t>
            </w:r>
          </w:p>
        </w:tc>
        <w:tc>
          <w:tcPr>
            <w:tcW w:w="992" w:type="dxa"/>
            <w:noWrap w:val="0"/>
            <w:vAlign w:val="center"/>
          </w:tcPr>
          <w:p>
            <w:pPr>
              <w:jc w:val="center"/>
              <w:rPr>
                <w:rFonts w:ascii="宋体" w:hAnsi="宋体" w:cs="微软雅黑"/>
                <w:color w:val="000000"/>
                <w:kern w:val="0"/>
                <w:sz w:val="24"/>
              </w:rP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B</w:t>
            </w:r>
            <w:r>
              <w:rPr>
                <w:rFonts w:ascii="宋体" w:hAnsi="宋体"/>
                <w:sz w:val="20"/>
                <w:szCs w:val="20"/>
              </w:rPr>
              <w:t>01</w:t>
            </w:r>
          </w:p>
        </w:tc>
        <w:tc>
          <w:tcPr>
            <w:tcW w:w="2409" w:type="dxa"/>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云平台</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虚拟仿真内容创作与协同平台</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MR眼镜或VR眼镜</w:t>
            </w:r>
          </w:p>
        </w:tc>
        <w:tc>
          <w:tcPr>
            <w:tcW w:w="4962" w:type="dxa"/>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云平台：提供云平台空间，能够支持模型和相关参数快速上传下载。</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虚拟仿真内容创作与协同平台：可实现3D零代码可视化虚拟资源及软件编辑发布操作，可导入图片、视频、3D流程等指导信息，可一键发布至手机、平板、XR眼镜等各类终端；远程协同设计，3D内容同步可见。</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MR眼镜或VR眼镜：市场主流品牌设备。</w:t>
            </w:r>
          </w:p>
        </w:tc>
        <w:tc>
          <w:tcPr>
            <w:tcW w:w="992" w:type="dxa"/>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C</w:t>
            </w:r>
            <w:r>
              <w:rPr>
                <w:rFonts w:ascii="宋体" w:hAnsi="宋体"/>
                <w:sz w:val="20"/>
                <w:szCs w:val="20"/>
              </w:rPr>
              <w:t>01</w:t>
            </w:r>
          </w:p>
        </w:tc>
        <w:tc>
          <w:tcPr>
            <w:tcW w:w="2409" w:type="dxa"/>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建筑防水智能化设备</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建筑防水与装饰装修课程</w:t>
            </w:r>
          </w:p>
        </w:tc>
        <w:tc>
          <w:tcPr>
            <w:tcW w:w="4962" w:type="dxa"/>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智能化建造装备是在建筑防水、装饰装修等领域提高施工效率、提升施工质量而建立的机械化设备，可用于现代化技术技能人才培养</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建筑防水及装饰装修课程是为培养产业工人技术技能而专门设计开发的学习课程，以理论知识+实践操作相结合方式，推动标准化施工流程体系的培养与传播</w:t>
            </w:r>
            <w:r>
              <w:rPr>
                <w:rFonts w:ascii="宋体" w:hAnsi="宋体"/>
                <w:sz w:val="20"/>
                <w:szCs w:val="20"/>
              </w:rPr>
              <w:t>。</w:t>
            </w:r>
          </w:p>
        </w:tc>
        <w:tc>
          <w:tcPr>
            <w:tcW w:w="992" w:type="dxa"/>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C</w:t>
            </w:r>
            <w:r>
              <w:rPr>
                <w:rFonts w:ascii="宋体" w:hAnsi="宋体"/>
                <w:sz w:val="20"/>
                <w:szCs w:val="20"/>
              </w:rPr>
              <w:t>02</w:t>
            </w:r>
          </w:p>
        </w:tc>
        <w:tc>
          <w:tcPr>
            <w:tcW w:w="2409" w:type="dxa"/>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建筑防水产业学院</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建筑防水技能大师工作室</w:t>
            </w:r>
          </w:p>
        </w:tc>
        <w:tc>
          <w:tcPr>
            <w:tcW w:w="4962" w:type="dxa"/>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建筑防水产业学院是高校与企业共同搭建的职业教育平台，是高校的产业研究、学生实践/实习和创业平台基地，同时也是企业在建筑防水行业人才培训中心及研究中心。</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建筑防水技能大师工作室是企业根据技能大师特长，联合高校共同开发建立的人才培养平台，共同推动现代学徒制人才培养模式。</w:t>
            </w:r>
          </w:p>
        </w:tc>
        <w:tc>
          <w:tcPr>
            <w:tcW w:w="992" w:type="dxa"/>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ascii="宋体" w:hAnsi="宋体"/>
                <w:sz w:val="20"/>
                <w:szCs w:val="20"/>
              </w:rPr>
              <w:t>D01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spacing w:before="62" w:beforeLines="20" w:after="62" w:afterLines="20" w:line="280" w:lineRule="exact"/>
              <w:ind w:left="0" w:firstLine="0" w:firstLineChars="0"/>
              <w:rPr>
                <w:rFonts w:ascii="宋体" w:hAnsi="宋体"/>
                <w:color w:val="auto"/>
                <w:sz w:val="20"/>
              </w:rPr>
            </w:pPr>
            <w:r>
              <w:rPr>
                <w:rFonts w:hint="eastAsia" w:ascii="宋体" w:hAnsi="宋体"/>
                <w:color w:val="auto"/>
                <w:sz w:val="20"/>
              </w:rPr>
              <w:t>智能财务产教服务</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color="auto" w:fill="FFFFFF"/>
              <w:spacing w:before="62" w:beforeLines="20" w:after="62" w:afterLines="20" w:line="280" w:lineRule="exact"/>
              <w:ind w:firstLine="420"/>
              <w:jc w:val="left"/>
              <w:rPr>
                <w:rFonts w:ascii="宋体" w:hAnsi="宋体"/>
                <w:sz w:val="20"/>
                <w:szCs w:val="20"/>
              </w:rPr>
            </w:pPr>
            <w:r>
              <w:rPr>
                <w:rFonts w:hint="eastAsia" w:ascii="宋体" w:hAnsi="宋体"/>
                <w:sz w:val="20"/>
                <w:szCs w:val="20"/>
              </w:rPr>
              <w:t>软件服务说明：提供企业级智能财务处理软件平台金蝶EAS和金蝶智能财务教学平台软件，便于院校教师进行课题研究及人才培养</w:t>
            </w:r>
          </w:p>
          <w:p>
            <w:pPr>
              <w:shd w:val="clear" w:color="auto" w:fill="FFFFFF"/>
              <w:spacing w:before="62" w:beforeLines="20" w:after="62" w:afterLines="20" w:line="280" w:lineRule="exact"/>
              <w:ind w:firstLine="420"/>
              <w:jc w:val="left"/>
              <w:rPr>
                <w:rFonts w:ascii="宋体" w:hAnsi="宋体"/>
                <w:sz w:val="20"/>
                <w:szCs w:val="20"/>
              </w:rPr>
            </w:pPr>
            <w:r>
              <w:rPr>
                <w:rFonts w:hint="eastAsia" w:ascii="宋体" w:hAnsi="宋体"/>
                <w:sz w:val="20"/>
                <w:szCs w:val="20"/>
              </w:rPr>
              <w:t>硬件服务说明（满足50人教学为例）：软件平台建议搭建在云服务器上，便于教师和学生随时使用，云服务器建议配置（以华为云为例）为通用计算器增强型32核64G内存服务器1台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D02</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spacing w:before="62" w:beforeLines="20" w:after="62" w:afterLines="20" w:line="280" w:lineRule="exact"/>
              <w:ind w:left="0" w:firstLine="0" w:firstLineChars="0"/>
              <w:rPr>
                <w:rFonts w:ascii="宋体" w:hAnsi="宋体"/>
                <w:color w:val="auto"/>
                <w:sz w:val="20"/>
              </w:rPr>
            </w:pPr>
            <w:r>
              <w:rPr>
                <w:rFonts w:hint="eastAsia" w:ascii="宋体" w:hAnsi="宋体"/>
                <w:color w:val="auto"/>
                <w:sz w:val="20"/>
              </w:rPr>
              <w:t>财务大数据产教服务</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8"/>
              <w:shd w:val="clear" w:color="auto" w:fill="FFFFFF"/>
              <w:spacing w:before="62" w:beforeLines="20" w:beforeAutospacing="0" w:after="62" w:afterLines="20" w:afterAutospacing="0" w:line="280" w:lineRule="exact"/>
              <w:ind w:firstLine="420"/>
              <w:jc w:val="left"/>
              <w:rPr>
                <w:rFonts w:cs="Times New Roman"/>
                <w:iCs/>
                <w:sz w:val="20"/>
                <w:szCs w:val="20"/>
              </w:rPr>
            </w:pPr>
            <w:r>
              <w:rPr>
                <w:rFonts w:hint="eastAsia" w:cs="Times New Roman"/>
                <w:iCs/>
                <w:sz w:val="20"/>
                <w:szCs w:val="20"/>
              </w:rPr>
              <w:t>软件服务说明:提供企业级大数据分析软件平台金蝶轻分析、金蝶大数据处理实践平台和E云教学资源管理平台，便于院校教师进行课题研究及人才培养</w:t>
            </w:r>
          </w:p>
          <w:p>
            <w:pPr>
              <w:pStyle w:val="18"/>
              <w:shd w:val="clear" w:color="auto" w:fill="FFFFFF"/>
              <w:spacing w:before="62" w:beforeLines="20" w:beforeAutospacing="0" w:after="62" w:afterLines="20" w:afterAutospacing="0" w:line="280" w:lineRule="exact"/>
              <w:ind w:firstLine="400" w:firstLineChars="200"/>
              <w:jc w:val="left"/>
              <w:rPr>
                <w:rFonts w:cs="Times New Roman"/>
                <w:iCs/>
                <w:sz w:val="20"/>
                <w:szCs w:val="20"/>
              </w:rPr>
            </w:pPr>
            <w:r>
              <w:rPr>
                <w:rFonts w:hint="eastAsia" w:cs="Times New Roman"/>
                <w:iCs/>
                <w:sz w:val="20"/>
                <w:szCs w:val="20"/>
              </w:rPr>
              <w:t>硬件服务说明(满足50人教学为例) :软件平台建议搭建在云服务器上，便于教师和学生随时使用，云服务器建议配置(以华为云为例)为通用计算增强型32核64G内存服务器1台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5"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D03</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6"/>
              <w:spacing w:before="62" w:beforeLines="20" w:after="62" w:afterLines="20" w:line="280" w:lineRule="exact"/>
              <w:ind w:left="0" w:firstLine="0" w:firstLineChars="0"/>
              <w:rPr>
                <w:rFonts w:ascii="宋体" w:hAnsi="宋体"/>
                <w:color w:val="auto"/>
                <w:sz w:val="20"/>
              </w:rPr>
            </w:pPr>
            <w:r>
              <w:rPr>
                <w:rFonts w:hint="eastAsia" w:ascii="宋体" w:hAnsi="宋体"/>
                <w:color w:val="auto"/>
                <w:sz w:val="20"/>
              </w:rPr>
              <w:t>财经虚拟仿真教学服务</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8"/>
              <w:shd w:val="clear" w:color="auto" w:fill="FFFFFF"/>
              <w:spacing w:before="62" w:beforeLines="20" w:beforeAutospacing="0" w:after="62" w:afterLines="20" w:afterAutospacing="0" w:line="280" w:lineRule="exact"/>
              <w:ind w:firstLine="420"/>
              <w:jc w:val="left"/>
              <w:rPr>
                <w:rFonts w:cs="Times New Roman"/>
                <w:iCs/>
                <w:sz w:val="20"/>
                <w:szCs w:val="20"/>
              </w:rPr>
            </w:pPr>
            <w:r>
              <w:rPr>
                <w:rFonts w:hint="eastAsia" w:cs="Times New Roman"/>
                <w:iCs/>
                <w:sz w:val="20"/>
                <w:szCs w:val="20"/>
              </w:rPr>
              <w:t>软件服务说明:提供企业级开放管理的生态平台金蝶云星空、金蝶虚拟仿真教学平台，便于院校教师进行课题研究及人才培养</w:t>
            </w:r>
          </w:p>
          <w:p>
            <w:pPr>
              <w:pStyle w:val="18"/>
              <w:shd w:val="clear" w:color="auto" w:fill="FFFFFF"/>
              <w:spacing w:before="62" w:beforeLines="20" w:beforeAutospacing="0" w:after="62" w:afterLines="20" w:afterAutospacing="0" w:line="280" w:lineRule="exact"/>
              <w:ind w:firstLine="400" w:firstLineChars="200"/>
              <w:jc w:val="left"/>
              <w:rPr>
                <w:rFonts w:cs="Times New Roman"/>
                <w:iCs/>
                <w:sz w:val="20"/>
                <w:szCs w:val="20"/>
              </w:rPr>
            </w:pPr>
            <w:r>
              <w:rPr>
                <w:rFonts w:hint="eastAsia" w:cs="Times New Roman"/>
                <w:iCs/>
                <w:sz w:val="20"/>
                <w:szCs w:val="20"/>
              </w:rPr>
              <w:t>硬件服务说明(满足50人教学为例) :软件平台建议搭建在云服务器上，便于教师和学生随时使用，云服务器建议配置(以华为云为例)为通用计算增强型32核64G内存服务器2台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07"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E</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人工智能在线教育云平台</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lang w:val="en-GB"/>
              </w:rPr>
            </w:pPr>
            <w:r>
              <w:rPr>
                <w:rFonts w:hint="eastAsia" w:ascii="宋体" w:hAnsi="宋体"/>
                <w:sz w:val="20"/>
                <w:szCs w:val="20"/>
                <w:lang w:val="en-GB"/>
              </w:rPr>
              <w:t>人工智能实验实训平台是针对人工智能技术特点而设计开发的平台，是能够降低成本、提高效率的人工智能实验实训教学平台。</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lang w:val="en-GB"/>
              </w:rPr>
              <w:t>软件平台使用容器技术将一体机的计算、存储、网络和GPU资源进行虚拟化，可为每个学生分配一套虚拟服务器集群，集成Hadoop、Spark、Docker、TensorFlow等主流技术框架，可支撑多门人工智能课程开展实验实训教学。</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E</w:t>
            </w:r>
            <w:r>
              <w:rPr>
                <w:rFonts w:ascii="宋体" w:hAnsi="宋体"/>
                <w:sz w:val="20"/>
                <w:szCs w:val="20"/>
              </w:rPr>
              <w:t>02</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人工智能科研资源平台</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科研资源平台为软硬件一体化设备，内置与人工智能图像识别相关科研资源数据，包括六大行业；数据资源可扩展，具备单独或完整更新升级数据集的能力；</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内置与人工智能图像识别相关的科研案例，包括农业科学研究院植物病虫害识别，动漫设计公司人物自动设计、宠物店管理、社区停车治理、自动驾驶行人识别和自动洗车房车牌识别等</w:t>
            </w:r>
            <w:r>
              <w:rPr>
                <w:rFonts w:ascii="宋体" w:hAnsi="宋体"/>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E0</w:t>
            </w:r>
            <w:r>
              <w:rPr>
                <w:rFonts w:ascii="宋体" w:hAnsi="宋体"/>
                <w:sz w:val="20"/>
                <w:szCs w:val="20"/>
              </w:rPr>
              <w:t>3</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人工智能科研数据处理平台</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firstLineChars="200"/>
              <w:jc w:val="left"/>
              <w:rPr>
                <w:rFonts w:ascii="宋体" w:hAnsi="宋体"/>
                <w:sz w:val="20"/>
                <w:szCs w:val="20"/>
              </w:rPr>
            </w:pPr>
            <w:r>
              <w:rPr>
                <w:rFonts w:hint="eastAsia" w:ascii="宋体" w:hAnsi="宋体"/>
                <w:sz w:val="20"/>
                <w:szCs w:val="20"/>
              </w:rPr>
              <w:t>科研数据处理平台为软硬件一体化设备，内置人工智能图像数据处理与人工智能神经网络模型训练软件，内置图像采集、图像增强工具包，图像标注工具包，神经网络模型训练引擎</w:t>
            </w:r>
            <w:r>
              <w:rPr>
                <w:rFonts w:ascii="宋体" w:hAnsi="宋体"/>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E0</w:t>
            </w:r>
            <w:r>
              <w:rPr>
                <w:rFonts w:ascii="宋体" w:hAnsi="宋体"/>
                <w:sz w:val="20"/>
                <w:szCs w:val="20"/>
              </w:rPr>
              <w:t>4</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人工智能科研应用部署平台</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科研应用部署平台为软硬件一体化设备，内置人工智能项目应用软件，人工智能深度学习框架</w:t>
            </w:r>
            <w:r>
              <w:rPr>
                <w:rFonts w:ascii="宋体" w:hAnsi="宋体"/>
                <w:sz w:val="20"/>
                <w:szCs w:val="20"/>
              </w:rPr>
              <w:t>。</w:t>
            </w:r>
            <w:r>
              <w:rPr>
                <w:rFonts w:hint="eastAsia" w:ascii="宋体" w:hAnsi="宋体"/>
                <w:sz w:val="20"/>
                <w:szCs w:val="20"/>
              </w:rPr>
              <w:t>包含应用模板，包括图像分类、目标检测、图像分割等应用模板，可实现科研成果的快速应用；支持扩展，可使用自定义模板。</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F</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Robetplat科研实训云管理应用软件系统</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教育客户端软件</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教学资源客户端管理软件</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5G、人工智能、机器人、物联网、教育大数据等方向科研实训云平台基础管理软件。平台实现相关的众多基础功能，能快速建立相关业务系统。</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5G教育大数据平台基础客户端资源编辑管理软件</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5G教育大数据平台基础客户端教学资源管理软件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8"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G</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新能源汽车实物教学软件</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新能源教学资源包</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主要功能：进行电动汽车各系统构造动画演示，EV纯电动汽车在实车上元器件分布，讲解电动汽车优点，EV纯电动汽车性能参数，电机控制主要功能配合实训台完成相关实验</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主要包含</w:t>
            </w:r>
            <w:r>
              <w:rPr>
                <w:rFonts w:ascii="宋体" w:hAnsi="宋体"/>
                <w:sz w:val="20"/>
                <w:szCs w:val="20"/>
              </w:rPr>
              <w:t>：</w:t>
            </w:r>
            <w:r>
              <w:rPr>
                <w:rFonts w:hint="eastAsia" w:ascii="宋体" w:hAnsi="宋体"/>
                <w:sz w:val="20"/>
                <w:szCs w:val="20"/>
              </w:rPr>
              <w:t>高压安全与防护</w:t>
            </w:r>
            <w:r>
              <w:rPr>
                <w:rFonts w:ascii="宋体" w:hAnsi="宋体"/>
                <w:sz w:val="20"/>
                <w:szCs w:val="20"/>
              </w:rPr>
              <w:t>、</w:t>
            </w:r>
            <w:r>
              <w:rPr>
                <w:rFonts w:hint="eastAsia" w:ascii="宋体" w:hAnsi="宋体"/>
                <w:sz w:val="20"/>
                <w:szCs w:val="20"/>
              </w:rPr>
              <w:t>新能源汽车电气技术</w:t>
            </w:r>
            <w:r>
              <w:rPr>
                <w:rFonts w:ascii="宋体" w:hAnsi="宋体"/>
                <w:sz w:val="20"/>
                <w:szCs w:val="20"/>
              </w:rPr>
              <w:t>、</w:t>
            </w:r>
            <w:r>
              <w:rPr>
                <w:rFonts w:hint="eastAsia" w:ascii="宋体" w:hAnsi="宋体"/>
                <w:sz w:val="20"/>
                <w:szCs w:val="20"/>
              </w:rPr>
              <w:t>新能源汽车电气技术</w:t>
            </w:r>
            <w:r>
              <w:rPr>
                <w:rFonts w:ascii="宋体" w:hAnsi="宋体"/>
                <w:sz w:val="20"/>
                <w:szCs w:val="20"/>
              </w:rPr>
              <w:t>、</w:t>
            </w:r>
            <w:r>
              <w:rPr>
                <w:rFonts w:hint="eastAsia" w:ascii="宋体" w:hAnsi="宋体"/>
                <w:sz w:val="20"/>
                <w:szCs w:val="20"/>
              </w:rPr>
              <w:t>新能源汽车动力电池</w:t>
            </w:r>
            <w:r>
              <w:rPr>
                <w:rFonts w:ascii="宋体" w:hAnsi="宋体"/>
                <w:sz w:val="20"/>
                <w:szCs w:val="20"/>
              </w:rPr>
              <w:t>、</w:t>
            </w:r>
            <w:r>
              <w:rPr>
                <w:rFonts w:hint="eastAsia" w:ascii="宋体" w:hAnsi="宋体"/>
                <w:sz w:val="20"/>
                <w:szCs w:val="20"/>
              </w:rPr>
              <w:t>新能源汽车驱动电机</w:t>
            </w:r>
            <w:r>
              <w:rPr>
                <w:rFonts w:ascii="宋体" w:hAnsi="宋体"/>
                <w:sz w:val="20"/>
                <w:szCs w:val="20"/>
              </w:rPr>
              <w:t>、</w:t>
            </w:r>
            <w:r>
              <w:rPr>
                <w:rFonts w:hint="eastAsia" w:ascii="宋体" w:hAnsi="宋体"/>
                <w:sz w:val="20"/>
                <w:szCs w:val="20"/>
              </w:rPr>
              <w:t>新能源汽车维护与故障诊断资源包</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H</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社会学专业资源库</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集教、学、考、研于一体的专业资源平台。平台内含专业课程、行业新闻、社会工作和相关行业学术直播以及社会工作师考试题库等专业学术资源，是高校进行专业教学、研究、实践的首辅工具，是学生学习专业课程、弥补知识不足的学习助手，是行业专家进行产学研究的得力平台，是组织机构深化知识、考试学习的有效途径。</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I</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软件资源支持</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课程资源支持</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教师培训服务</w:t>
            </w:r>
            <w:r>
              <w:rPr>
                <w:rFonts w:ascii="宋体" w:hAnsi="宋体"/>
                <w:sz w:val="20"/>
                <w:szCs w:val="20"/>
              </w:rPr>
              <w:t>；</w:t>
            </w:r>
          </w:p>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虚拟仿真基础与硬件环境建设方案支持</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U校园、iWrite、iTEST等教育学测评平台</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中国高校外语慕课、国际教育领域相关微课资料</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U讲堂及U讲堂·钉钉社群海量免费课程与讲座资源支持</w:t>
            </w:r>
            <w:r>
              <w:rPr>
                <w:rFonts w:ascii="宋体" w:hAnsi="宋体"/>
                <w:sz w:val="20"/>
                <w:szCs w:val="20"/>
              </w:rPr>
              <w:t>；</w:t>
            </w:r>
          </w:p>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专业业务团队将提供完整的虚拟仿真与硬件环境建设方案支持</w:t>
            </w:r>
            <w:r>
              <w:rPr>
                <w:rFonts w:hint="eastAsia" w:ascii="宋体" w:hAnsi="宋体"/>
                <w:sz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4"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100" w:firstLineChars="50"/>
              <w:jc w:val="center"/>
              <w:rPr>
                <w:rFonts w:ascii="宋体" w:hAnsi="宋体"/>
                <w:sz w:val="20"/>
                <w:szCs w:val="20"/>
              </w:rPr>
            </w:pPr>
            <w:r>
              <w:rPr>
                <w:rFonts w:hint="eastAsia" w:ascii="宋体" w:hAnsi="宋体"/>
                <w:sz w:val="20"/>
                <w:szCs w:val="20"/>
              </w:rPr>
              <w:t>J</w:t>
            </w:r>
            <w:r>
              <w:rPr>
                <w:rFonts w:ascii="宋体" w:hAnsi="宋体"/>
                <w:sz w:val="20"/>
                <w:szCs w:val="20"/>
              </w:rPr>
              <w:t>01</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jc w:val="left"/>
              <w:rPr>
                <w:rFonts w:ascii="宋体" w:hAnsi="宋体"/>
                <w:sz w:val="20"/>
                <w:szCs w:val="20"/>
              </w:rPr>
            </w:pPr>
            <w:r>
              <w:rPr>
                <w:rFonts w:hint="eastAsia" w:ascii="宋体" w:hAnsi="宋体"/>
                <w:sz w:val="20"/>
                <w:szCs w:val="20"/>
              </w:rPr>
              <w:t>课改星课训一体化平台</w:t>
            </w:r>
            <w:r>
              <w:rPr>
                <w:rFonts w:ascii="宋体" w:hAnsi="宋体"/>
                <w:sz w:val="20"/>
                <w:szCs w:val="20"/>
              </w:rPr>
              <w:t>；</w:t>
            </w:r>
          </w:p>
        </w:tc>
        <w:tc>
          <w:tcPr>
            <w:tcW w:w="4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before="62" w:beforeLines="20" w:after="62" w:afterLines="20" w:line="280" w:lineRule="exact"/>
              <w:ind w:firstLine="400"/>
              <w:jc w:val="left"/>
              <w:rPr>
                <w:rFonts w:ascii="宋体" w:hAnsi="宋体"/>
                <w:sz w:val="20"/>
                <w:szCs w:val="20"/>
              </w:rPr>
            </w:pPr>
            <w:r>
              <w:rPr>
                <w:rFonts w:hint="eastAsia" w:ascii="宋体" w:hAnsi="宋体"/>
                <w:sz w:val="20"/>
                <w:szCs w:val="20"/>
              </w:rPr>
              <w:t>以随堂微实训为特色的“课训一体化”人力资源管理应用型课程平台，涵盖视频、图文案例、隋堂微实训、创新工具等实训形态，支持分屏投放，支持一流线下课程建设。</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cs="微软雅黑"/>
                <w:color w:val="000000"/>
                <w:kern w:val="0"/>
                <w:sz w:val="24"/>
              </w:rPr>
              <w:sym w:font="Wingdings" w:char="F0A8"/>
            </w:r>
          </w:p>
        </w:tc>
      </w:tr>
    </w:tbl>
    <w:p>
      <w:pPr>
        <w:spacing w:before="156" w:beforeLines="50" w:line="380" w:lineRule="exact"/>
        <w:rPr>
          <w:rFonts w:ascii="宋体" w:hAnsi="宋体"/>
          <w:b/>
          <w:sz w:val="28"/>
          <w:szCs w:val="28"/>
        </w:rPr>
      </w:pPr>
      <w:r>
        <w:rPr>
          <w:rFonts w:hint="eastAsia"/>
          <w:color w:val="000000"/>
        </w:rPr>
        <w:t>（注：上述软硬件设备用于支持本研究课题，可根据课题需求选择。平台选择不能折换现金。不要选择与本研究课题方向不相关的设备及资料。）</w:t>
      </w:r>
      <w:r>
        <w:rPr>
          <w:color w:val="000000"/>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83" w:hRule="atLeast"/>
        </w:trPr>
        <w:tc>
          <w:tcPr>
            <w:tcW w:w="8720" w:type="dxa"/>
            <w:shd w:val="clear" w:color="auto" w:fill="auto"/>
            <w:noWrap w:val="0"/>
            <w:vAlign w:val="top"/>
          </w:tcPr>
          <w:p>
            <w:pPr>
              <w:spacing w:line="300" w:lineRule="exact"/>
              <w:rPr>
                <w:rFonts w:ascii="宋体" w:hAnsi="宋体"/>
                <w:sz w:val="24"/>
              </w:rPr>
            </w:pPr>
          </w:p>
          <w:p>
            <w:pPr>
              <w:adjustRightInd w:val="0"/>
              <w:snapToGrid w:val="0"/>
              <w:spacing w:line="360" w:lineRule="auto"/>
              <w:ind w:firstLine="560" w:firstLineChars="200"/>
              <w:rPr>
                <w:rFonts w:ascii="宋体" w:hAnsi="宋体"/>
                <w:color w:val="000000"/>
                <w:sz w:val="28"/>
                <w:szCs w:val="28"/>
              </w:rPr>
            </w:pP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本人承诺申请书填写的各项内容属实，没有知识产权争议。如获准资助，我遵守有关课题管理规定，按照申请书填报的研究内容和时间如期完成研究任务，自觉接受课题检查与监督管理。</w:t>
            </w:r>
            <w:r>
              <w:rPr>
                <w:rFonts w:ascii="宋体" w:hAnsi="宋体"/>
                <w:color w:val="000000"/>
                <w:sz w:val="24"/>
              </w:rPr>
              <w:t>资助</w:t>
            </w:r>
            <w:r>
              <w:rPr>
                <w:rFonts w:hint="eastAsia" w:ascii="宋体" w:hAnsi="宋体"/>
                <w:color w:val="000000"/>
                <w:sz w:val="24"/>
              </w:rPr>
              <w:t>课题</w:t>
            </w:r>
            <w:r>
              <w:rPr>
                <w:rFonts w:ascii="宋体" w:hAnsi="宋体"/>
                <w:color w:val="000000"/>
                <w:sz w:val="24"/>
              </w:rPr>
              <w:t>获得的知识产权由</w:t>
            </w:r>
            <w:r>
              <w:rPr>
                <w:rFonts w:hint="eastAsia" w:ascii="宋体" w:hAnsi="宋体"/>
                <w:color w:val="000000"/>
                <w:sz w:val="24"/>
              </w:rPr>
              <w:t>资助方</w:t>
            </w:r>
            <w:r>
              <w:rPr>
                <w:rFonts w:ascii="宋体" w:hAnsi="宋体"/>
                <w:color w:val="000000"/>
                <w:sz w:val="24"/>
              </w:rPr>
              <w:t>和</w:t>
            </w:r>
            <w:r>
              <w:rPr>
                <w:rFonts w:hint="eastAsia" w:ascii="宋体" w:hAnsi="宋体"/>
                <w:color w:val="000000"/>
                <w:sz w:val="24"/>
              </w:rPr>
              <w:t>课题</w:t>
            </w:r>
            <w:r>
              <w:rPr>
                <w:rFonts w:ascii="宋体" w:hAnsi="宋体"/>
                <w:color w:val="000000"/>
                <w:sz w:val="24"/>
              </w:rPr>
              <w:t>承担单位共同所有</w:t>
            </w:r>
            <w:r>
              <w:rPr>
                <w:rFonts w:hint="eastAsia" w:ascii="宋体" w:hAnsi="宋体"/>
                <w:color w:val="000000"/>
                <w:sz w:val="24"/>
              </w:rPr>
              <w:t>。</w:t>
            </w:r>
          </w:p>
          <w:p>
            <w:pPr>
              <w:adjustRightInd w:val="0"/>
              <w:snapToGrid w:val="0"/>
              <w:spacing w:line="360" w:lineRule="auto"/>
              <w:ind w:firstLine="560" w:firstLineChars="200"/>
              <w:rPr>
                <w:rFonts w:ascii="宋体" w:hAnsi="宋体"/>
                <w:color w:val="000000"/>
                <w:sz w:val="28"/>
                <w:szCs w:val="28"/>
              </w:rPr>
            </w:pPr>
          </w:p>
          <w:p>
            <w:pPr>
              <w:adjustRightInd w:val="0"/>
              <w:snapToGrid w:val="0"/>
              <w:spacing w:line="360" w:lineRule="auto"/>
              <w:ind w:firstLine="560" w:firstLineChars="200"/>
              <w:rPr>
                <w:rFonts w:ascii="宋体" w:hAnsi="宋体"/>
                <w:color w:val="000000"/>
                <w:sz w:val="28"/>
                <w:szCs w:val="28"/>
              </w:rPr>
            </w:pPr>
          </w:p>
          <w:p>
            <w:pPr>
              <w:widowControl/>
              <w:spacing w:line="420" w:lineRule="exact"/>
              <w:ind w:firstLine="3827" w:firstLineChars="1367"/>
              <w:jc w:val="left"/>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line="300" w:lineRule="exact"/>
        <w:rPr>
          <w:color w:val="000000"/>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72" w:hRule="atLeast"/>
        </w:trPr>
        <w:tc>
          <w:tcPr>
            <w:tcW w:w="8755" w:type="dxa"/>
            <w:noWrap w:val="0"/>
            <w:vAlign w:val="top"/>
          </w:tcPr>
          <w:p>
            <w:pPr>
              <w:spacing w:line="360" w:lineRule="auto"/>
              <w:rPr>
                <w:rFonts w:ascii="宋体" w:hAnsi="宋体"/>
                <w:sz w:val="24"/>
              </w:rPr>
            </w:pPr>
            <w:r>
              <w:rPr>
                <w:rFonts w:hint="eastAsia" w:ascii="宋体" w:hAnsi="宋体"/>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35175"/>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2CFA"/>
    <w:rsid w:val="006F59AE"/>
    <w:rsid w:val="007028A4"/>
    <w:rsid w:val="00710A53"/>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1242"/>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C3C89"/>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A703A"/>
    <w:rsid w:val="009B5B4D"/>
    <w:rsid w:val="009B7A36"/>
    <w:rsid w:val="009C549C"/>
    <w:rsid w:val="009E0280"/>
    <w:rsid w:val="009E15FB"/>
    <w:rsid w:val="00A01B51"/>
    <w:rsid w:val="00A12DCA"/>
    <w:rsid w:val="00A21370"/>
    <w:rsid w:val="00A26E62"/>
    <w:rsid w:val="00A31A3B"/>
    <w:rsid w:val="00A338F3"/>
    <w:rsid w:val="00A340BC"/>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0A4C"/>
    <w:rsid w:val="00AC54CB"/>
    <w:rsid w:val="00AD23CF"/>
    <w:rsid w:val="00AD288A"/>
    <w:rsid w:val="00AD6D14"/>
    <w:rsid w:val="00AD6DC6"/>
    <w:rsid w:val="00AE3937"/>
    <w:rsid w:val="00AE7FC0"/>
    <w:rsid w:val="00AF6E99"/>
    <w:rsid w:val="00B0765F"/>
    <w:rsid w:val="00B113F1"/>
    <w:rsid w:val="00B245F9"/>
    <w:rsid w:val="00B33AA6"/>
    <w:rsid w:val="00B40E1E"/>
    <w:rsid w:val="00B44706"/>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36D4"/>
    <w:rsid w:val="00CE418C"/>
    <w:rsid w:val="00CE4922"/>
    <w:rsid w:val="00CF2DE8"/>
    <w:rsid w:val="00CF3ECC"/>
    <w:rsid w:val="00D1461A"/>
    <w:rsid w:val="00D37CE3"/>
    <w:rsid w:val="00D46B8A"/>
    <w:rsid w:val="00D471E6"/>
    <w:rsid w:val="00D5049B"/>
    <w:rsid w:val="00D51BD5"/>
    <w:rsid w:val="00D706C1"/>
    <w:rsid w:val="00D715A3"/>
    <w:rsid w:val="00D86FEA"/>
    <w:rsid w:val="00D927E0"/>
    <w:rsid w:val="00D957A2"/>
    <w:rsid w:val="00D9743E"/>
    <w:rsid w:val="00DB3F69"/>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0056831"/>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Style w:val="20"/>
      <w:tblCellMar>
        <w:top w:w="0" w:type="dxa"/>
        <w:left w:w="108" w:type="dxa"/>
        <w:bottom w:w="0" w:type="dxa"/>
        <w:right w:w="108" w:type="dxa"/>
      </w:tblCellMar>
    </w:tblPr>
    <w:trPr>
      <w:wBefore w:w="0" w:type="dxa"/>
    </w:tr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39"/>
    <w:pPr>
      <w:spacing w:before="360"/>
      <w:jc w:val="left"/>
    </w:pPr>
    <w:rPr>
      <w:rFonts w:ascii="等线 Light" w:eastAsia="等线 Light"/>
      <w:b/>
      <w:bCs/>
      <w:caps/>
      <w:sz w:val="24"/>
    </w:rPr>
  </w:style>
  <w:style w:type="paragraph" w:styleId="14">
    <w:name w:val="toc 4"/>
    <w:basedOn w:val="1"/>
    <w:next w:val="1"/>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uiPriority w:val="0"/>
    <w:rPr>
      <w:b/>
      <w:bCs/>
    </w:rPr>
  </w:style>
  <w:style w:type="table" w:styleId="21">
    <w:name w:val="Table Grid"/>
    <w:basedOn w:val="20"/>
    <w:qFormat/>
    <w:uiPriority w:val="0"/>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字符"/>
    <w:link w:val="10"/>
    <w:uiPriority w:val="0"/>
    <w:rPr>
      <w:rFonts w:ascii="Calibri" w:hAnsi="Calibri"/>
      <w:kern w:val="2"/>
      <w:sz w:val="18"/>
      <w:szCs w:val="18"/>
    </w:rPr>
  </w:style>
  <w:style w:type="character" w:customStyle="1" w:styleId="26">
    <w:name w:val="标题 1 字符"/>
    <w:link w:val="2"/>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字符"/>
    <w:link w:val="3"/>
    <w:semiHidden/>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link w:val="28"/>
    <w:qFormat/>
    <w:uiPriority w:val="0"/>
    <w:rPr>
      <w:rFonts w:ascii="楷体" w:hAnsi="楷体" w:eastAsia="微软雅黑" w:cs="Times New Roman"/>
      <w:bCs/>
      <w:color w:val="000000"/>
      <w:kern w:val="2"/>
      <w:sz w:val="36"/>
      <w:szCs w:val="30"/>
    </w:rPr>
  </w:style>
  <w:style w:type="character" w:customStyle="1" w:styleId="32">
    <w:name w:val="批注文字 字符"/>
    <w:link w:val="5"/>
    <w:qFormat/>
    <w:uiPriority w:val="0"/>
    <w:rPr>
      <w:rFonts w:ascii="Calibri" w:hAnsi="Calibri"/>
      <w:kern w:val="2"/>
      <w:sz w:val="21"/>
      <w:szCs w:val="24"/>
    </w:rPr>
  </w:style>
  <w:style w:type="character" w:customStyle="1" w:styleId="33">
    <w:name w:val="批注主题 字符"/>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kern w:val="0"/>
      <w:szCs w:val="20"/>
    </w:rPr>
  </w:style>
  <w:style w:type="character" w:customStyle="1" w:styleId="35">
    <w:name w:val="列出段落 字符"/>
    <w:link w:val="34"/>
    <w:qFormat/>
    <w:locked/>
    <w:uiPriority w:val="34"/>
    <w:rPr>
      <w:iCs/>
      <w:color w:val="000000"/>
      <w:sz w:val="21"/>
    </w:rPr>
  </w:style>
  <w:style w:type="paragraph" w:customStyle="1" w:styleId="36">
    <w:name w:val="列出段落1"/>
    <w:basedOn w:val="1"/>
    <w:qFormat/>
    <w:uiPriority w:val="34"/>
    <w:pPr>
      <w:widowControl/>
      <w:spacing w:before="120" w:after="120"/>
      <w:ind w:left="720" w:firstLine="200" w:firstLineChars="200"/>
      <w:contextualSpacing/>
    </w:pPr>
    <w:rPr>
      <w:rFonts w:ascii="Times New Roman" w:hAnsi="Times New Roman"/>
      <w:iCs/>
      <w:color w:val="000000"/>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640</Words>
  <Characters>3651</Characters>
  <Lines>30</Lines>
  <Paragraphs>8</Paragraphs>
  <TotalTime>0</TotalTime>
  <ScaleCrop>false</ScaleCrop>
  <LinksUpToDate>false</LinksUpToDate>
  <CharactersWithSpaces>4283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2021-11-08T02:20:00Z</dcterms:created>
  <dc:creator>dell</dc:creator>
  <cp:lastModifiedBy>张一</cp:lastModifiedBy>
  <cp:lastPrinted>2018-09-17T07:59:00Z</cp:lastPrinted>
  <dcterms:modified xsi:type="dcterms:W3CDTF">2021-11-25T07:52:15Z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E9A8CF3A3D6740A2BAD1E51FF39D2BAD</vt:lpwstr>
  </property>
</Properties>
</file>