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Lines="100"/>
        <w:jc w:val="left"/>
        <w:rPr>
          <w:rFonts w:ascii="宋体" w:hAnsi="宋体" w:eastAsia="宋体"/>
          <w:b w:val="0"/>
          <w:color w:val="auto"/>
          <w:sz w:val="24"/>
          <w:szCs w:val="24"/>
        </w:rPr>
      </w:pPr>
      <w:bookmarkStart w:id="0" w:name="_GoBack"/>
      <w:bookmarkEnd w:id="0"/>
      <w:r>
        <w:rPr>
          <w:rFonts w:hint="eastAsia" w:ascii="宋体" w:hAnsi="宋体" w:eastAsia="宋体"/>
          <w:b w:val="0"/>
          <w:color w:val="auto"/>
          <w:sz w:val="24"/>
          <w:szCs w:val="24"/>
        </w:rPr>
        <w:t>附件1</w:t>
      </w:r>
    </w:p>
    <w:p>
      <w:pPr>
        <w:pStyle w:val="2"/>
        <w:spacing w:before="0" w:afterLines="50"/>
        <w:rPr>
          <w:rFonts w:ascii="宋体" w:hAnsi="宋体" w:eastAsia="宋体"/>
          <w:color w:val="auto"/>
          <w:szCs w:val="32"/>
        </w:rPr>
      </w:pPr>
      <w:r>
        <w:rPr>
          <w:rFonts w:hint="eastAsia" w:ascii="宋体" w:hAnsi="宋体" w:eastAsia="宋体"/>
          <w:color w:val="auto"/>
          <w:szCs w:val="32"/>
        </w:rPr>
        <w:t>中国高校产学研创新基金-睿亚训产学研创新项目</w:t>
      </w:r>
    </w:p>
    <w:p>
      <w:pPr>
        <w:pStyle w:val="2"/>
        <w:spacing w:before="0" w:afterLines="50"/>
        <w:rPr>
          <w:rFonts w:ascii="宋体" w:hAnsi="宋体" w:eastAsia="宋体"/>
          <w:color w:val="auto"/>
          <w:szCs w:val="32"/>
        </w:rPr>
      </w:pPr>
      <w:r>
        <w:rPr>
          <w:rFonts w:hint="eastAsia" w:ascii="宋体" w:hAnsi="宋体" w:eastAsia="宋体"/>
          <w:color w:val="auto"/>
          <w:szCs w:val="32"/>
        </w:rPr>
        <w:t>申请指南说明</w:t>
      </w:r>
    </w:p>
    <w:p>
      <w:pPr>
        <w:spacing w:line="480" w:lineRule="exact"/>
        <w:ind w:firstLine="480"/>
        <w:rPr>
          <w:rFonts w:ascii="宋体" w:hAnsi="宋体"/>
          <w:color w:val="auto"/>
          <w:sz w:val="24"/>
          <w:szCs w:val="24"/>
        </w:rPr>
      </w:pPr>
      <w:r>
        <w:rPr>
          <w:rFonts w:hint="eastAsia" w:ascii="宋体" w:hAnsi="宋体"/>
          <w:color w:val="auto"/>
          <w:sz w:val="24"/>
          <w:szCs w:val="24"/>
        </w:rPr>
        <w:t>为贯彻落实党的十九大和全国教育大会精神，推进产学研协同创新，支撑实施创新驱动发展战略，提升教育服务经济社会发展能力，促进科技成果转化，教育部科技发展中心与上海睿亚训软件技术服务有限公司联合设立“中国高校产学研创新基金-睿亚训产学研创新项目”，支持高校在专业建设、智慧教育、人工智能、大数据、云计算、课程思政、数字人文等领域的科研和教学改革创新研究。</w:t>
      </w:r>
    </w:p>
    <w:p>
      <w:pPr>
        <w:pStyle w:val="3"/>
        <w:spacing w:before="163" w:line="480" w:lineRule="exact"/>
        <w:ind w:left="0" w:firstLine="560" w:firstLineChars="200"/>
        <w:rPr>
          <w:color w:val="auto"/>
        </w:rPr>
      </w:pPr>
      <w:r>
        <w:rPr>
          <w:rFonts w:hint="eastAsia"/>
          <w:color w:val="auto"/>
        </w:rPr>
        <w:t>课题方向</w:t>
      </w:r>
    </w:p>
    <w:p>
      <w:pPr>
        <w:spacing w:before="0" w:after="0" w:line="480" w:lineRule="exact"/>
        <w:ind w:firstLine="480"/>
        <w:rPr>
          <w:rFonts w:ascii="宋体" w:hAnsi="宋体"/>
          <w:color w:val="auto"/>
          <w:sz w:val="24"/>
          <w:szCs w:val="24"/>
        </w:rPr>
      </w:pPr>
      <w:r>
        <w:rPr>
          <w:rFonts w:hint="eastAsia" w:ascii="宋体" w:hAnsi="宋体"/>
          <w:color w:val="auto"/>
          <w:sz w:val="24"/>
          <w:szCs w:val="24"/>
        </w:rPr>
        <w:t>1.“睿亚训产学研创新项目”旨在通过新兴的信息技术模式促进高校在专业建设、智慧教育、人工智能、大数据、云计算、课程思政、数字人文等方向的提升而设立，以科技变革促进教育变革，创新人才培养机制，推动社会发展为目标。</w:t>
      </w:r>
    </w:p>
    <w:p>
      <w:pPr>
        <w:spacing w:before="0" w:after="0" w:line="480" w:lineRule="exact"/>
        <w:ind w:firstLine="480"/>
        <w:rPr>
          <w:rFonts w:ascii="宋体" w:hAnsi="宋体"/>
          <w:sz w:val="24"/>
          <w:szCs w:val="24"/>
        </w:rPr>
      </w:pPr>
      <w:r>
        <w:rPr>
          <w:rFonts w:hint="eastAsia" w:ascii="宋体" w:hAnsi="宋体"/>
          <w:color w:val="auto"/>
          <w:sz w:val="24"/>
          <w:szCs w:val="24"/>
        </w:rPr>
        <w:t>2.“睿亚训产学研创新项目”的计划执行时</w:t>
      </w:r>
      <w:r>
        <w:rPr>
          <w:rFonts w:hint="eastAsia" w:ascii="宋体" w:hAnsi="宋体"/>
          <w:sz w:val="24"/>
          <w:szCs w:val="24"/>
        </w:rPr>
        <w:t>间为</w:t>
      </w:r>
      <w:r>
        <w:rPr>
          <w:rFonts w:ascii="宋体" w:hAnsi="宋体"/>
          <w:sz w:val="24"/>
          <w:szCs w:val="24"/>
        </w:rPr>
        <w:t>20</w:t>
      </w:r>
      <w:r>
        <w:rPr>
          <w:rFonts w:hint="eastAsia" w:ascii="宋体" w:hAnsi="宋体"/>
          <w:sz w:val="24"/>
          <w:szCs w:val="24"/>
        </w:rPr>
        <w:t>22</w:t>
      </w:r>
      <w:r>
        <w:rPr>
          <w:rFonts w:ascii="宋体" w:hAnsi="宋体"/>
          <w:sz w:val="24"/>
          <w:szCs w:val="24"/>
        </w:rPr>
        <w:t>年</w:t>
      </w:r>
      <w:r>
        <w:rPr>
          <w:rFonts w:hint="eastAsia" w:ascii="宋体" w:hAnsi="宋体"/>
          <w:sz w:val="24"/>
          <w:szCs w:val="24"/>
        </w:rPr>
        <w:t>1</w:t>
      </w:r>
      <w:r>
        <w:rPr>
          <w:rFonts w:ascii="宋体" w:hAnsi="宋体"/>
          <w:sz w:val="24"/>
          <w:szCs w:val="24"/>
        </w:rPr>
        <w:t>月1日～20</w:t>
      </w:r>
      <w:r>
        <w:rPr>
          <w:rFonts w:hint="eastAsia" w:ascii="宋体" w:hAnsi="宋体"/>
          <w:sz w:val="24"/>
          <w:szCs w:val="24"/>
        </w:rPr>
        <w:t>22</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rPr>
        <w:t>31</w:t>
      </w:r>
      <w:r>
        <w:rPr>
          <w:rFonts w:ascii="宋体" w:hAnsi="宋体"/>
          <w:sz w:val="24"/>
          <w:szCs w:val="24"/>
        </w:rPr>
        <w:t>日</w:t>
      </w:r>
      <w:r>
        <w:rPr>
          <w:rFonts w:hint="eastAsia" w:ascii="宋体" w:hAnsi="宋体"/>
          <w:sz w:val="24"/>
          <w:szCs w:val="24"/>
        </w:rPr>
        <w:t>，可根据课题复杂程度适度延长执行周期，最长不超过两年。</w:t>
      </w:r>
    </w:p>
    <w:p>
      <w:pPr>
        <w:spacing w:before="0" w:after="0" w:line="480" w:lineRule="exact"/>
        <w:ind w:firstLine="480"/>
        <w:rPr>
          <w:rFonts w:ascii="宋体" w:hAnsi="宋体"/>
          <w:color w:val="auto"/>
          <w:sz w:val="24"/>
          <w:szCs w:val="24"/>
        </w:rPr>
      </w:pPr>
      <w:r>
        <w:rPr>
          <w:rFonts w:hint="eastAsia" w:ascii="宋体" w:hAnsi="宋体"/>
          <w:sz w:val="24"/>
          <w:szCs w:val="24"/>
        </w:rPr>
        <w:t>3.“睿亚训产学研创新项目”为每个立项课题提供</w:t>
      </w:r>
      <w:r>
        <w:rPr>
          <w:rFonts w:ascii="宋体" w:hAnsi="宋体"/>
          <w:sz w:val="24"/>
          <w:szCs w:val="24"/>
        </w:rPr>
        <w:t>1</w:t>
      </w:r>
      <w:r>
        <w:rPr>
          <w:rFonts w:hint="eastAsia" w:ascii="宋体" w:hAnsi="宋体"/>
          <w:sz w:val="24"/>
          <w:szCs w:val="24"/>
        </w:rPr>
        <w:t>0万元至</w:t>
      </w:r>
      <w:r>
        <w:rPr>
          <w:rFonts w:ascii="宋体" w:hAnsi="宋体"/>
          <w:sz w:val="24"/>
          <w:szCs w:val="24"/>
        </w:rPr>
        <w:t>50</w:t>
      </w:r>
      <w:r>
        <w:rPr>
          <w:rFonts w:hint="eastAsia" w:ascii="宋体" w:hAnsi="宋体"/>
          <w:sz w:val="24"/>
          <w:szCs w:val="24"/>
        </w:rPr>
        <w:t>万元的研</w:t>
      </w:r>
      <w:r>
        <w:rPr>
          <w:rFonts w:hint="eastAsia" w:ascii="宋体" w:hAnsi="宋体"/>
          <w:color w:val="auto"/>
          <w:sz w:val="24"/>
          <w:szCs w:val="24"/>
        </w:rPr>
        <w:t>究经费及科研软硬件平台支持（研究经费不低于总经费的50%）。</w:t>
      </w:r>
    </w:p>
    <w:p>
      <w:pPr>
        <w:spacing w:before="0" w:after="0" w:line="480" w:lineRule="exact"/>
        <w:ind w:firstLine="480"/>
        <w:rPr>
          <w:rFonts w:ascii="宋体" w:hAnsi="宋体"/>
          <w:color w:val="auto"/>
          <w:sz w:val="24"/>
          <w:szCs w:val="24"/>
        </w:rPr>
      </w:pPr>
      <w:r>
        <w:rPr>
          <w:rFonts w:hint="eastAsia" w:ascii="宋体" w:hAnsi="宋体"/>
          <w:color w:val="auto"/>
          <w:sz w:val="24"/>
          <w:szCs w:val="24"/>
        </w:rPr>
        <w:t xml:space="preserve">4. </w:t>
      </w:r>
      <w:r>
        <w:rPr>
          <w:rFonts w:hint="eastAsia" w:ascii="宋体" w:hAnsi="宋体"/>
          <w:sz w:val="24"/>
          <w:szCs w:val="24"/>
        </w:rPr>
        <w:t>基金课题的选题方向见</w:t>
      </w:r>
      <w:r>
        <w:rPr>
          <w:rFonts w:hint="eastAsia" w:ascii="宋体" w:hAnsi="宋体"/>
          <w:color w:val="auto"/>
          <w:sz w:val="24"/>
          <w:szCs w:val="24"/>
        </w:rPr>
        <w:t>表一（普通本科院校）、表二（职业教育院校与继续教育院校）、</w:t>
      </w:r>
      <w:r>
        <w:rPr>
          <w:rFonts w:hint="eastAsia" w:ascii="宋体" w:hAnsi="宋体"/>
          <w:sz w:val="24"/>
          <w:szCs w:val="24"/>
        </w:rPr>
        <w:t>表</w:t>
      </w:r>
      <w:r>
        <w:rPr>
          <w:rFonts w:hint="eastAsia" w:ascii="宋体" w:hAnsi="宋体"/>
          <w:color w:val="auto"/>
          <w:sz w:val="24"/>
          <w:szCs w:val="24"/>
        </w:rPr>
        <w:t>三（不限学校类型），申请人选择课题方向进行申报，要求基于项目提供的教学平台、教学实验实训一体化平台、人工智能资源平台或大数据资源平台等进行研究（相关平台介绍见表四）。</w:t>
      </w:r>
    </w:p>
    <w:p>
      <w:pPr>
        <w:spacing w:before="0" w:after="0" w:line="480" w:lineRule="exact"/>
        <w:ind w:firstLine="480"/>
        <w:rPr>
          <w:rFonts w:ascii="宋体" w:hAnsi="宋体"/>
          <w:color w:val="auto"/>
          <w:sz w:val="24"/>
          <w:szCs w:val="24"/>
        </w:rPr>
      </w:pPr>
    </w:p>
    <w:p>
      <w:pPr>
        <w:spacing w:before="0" w:after="0" w:line="500" w:lineRule="exact"/>
        <w:ind w:firstLine="0" w:firstLineChars="0"/>
        <w:jc w:val="center"/>
        <w:rPr>
          <w:b/>
          <w:color w:val="auto"/>
          <w:sz w:val="24"/>
          <w:szCs w:val="24"/>
        </w:rPr>
      </w:pPr>
      <w:r>
        <w:rPr>
          <w:rFonts w:hint="eastAsia"/>
          <w:b/>
          <w:color w:val="auto"/>
          <w:sz w:val="24"/>
          <w:szCs w:val="24"/>
        </w:rPr>
        <w:t>表一  “建设高水平本科教育，全面提高人才培养能力方向”选题列表</w:t>
      </w:r>
    </w:p>
    <w:tbl>
      <w:tblPr>
        <w:tblStyle w:val="32"/>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35"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方向编号</w:t>
            </w:r>
          </w:p>
        </w:tc>
        <w:tc>
          <w:tcPr>
            <w:tcW w:w="155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课题方向</w:t>
            </w:r>
          </w:p>
        </w:tc>
        <w:tc>
          <w:tcPr>
            <w:tcW w:w="637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A01</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智慧教育助力课程思政示范项目建设工作的探索和实践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面向普通本科教育和研究生教育，选树一批课程思政示范课程、教学名师和团队、教学研究示范中心，全面推进学校的课程思政建设理论研究和教学实践，探索创新课程思政建设方法路径，构建全面覆盖、类型丰富、层次递进、相互支撑的课程思政体系，加快形成“校校有精品、门门有思政、课课有特色、人人重育人”的良好局面。</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基于智慧教育相关技术和课程思政工作的要求和特点，结合睿亚训的产品服务以及学校本身的优势特点，任选上面的一个或多个工作方向，提出课程思政示范项目建设方案和具体执行计划。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A02</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智慧教育助力一流本科专业建设工作的研究与实践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推动新工科、新医科、新农科、新文科建设，做强一流本科、建设一流专业、培养一流人才，全面振兴本科教育，提高高校人才培养能力，实现高等教育内涵式发展，建设国家级一流本科专业点和省级一流本科专业点。</w:t>
            </w:r>
          </w:p>
          <w:p>
            <w:pPr>
              <w:spacing w:before="0" w:after="0" w:line="300" w:lineRule="exact"/>
              <w:ind w:firstLine="400"/>
              <w:jc w:val="left"/>
              <w:rPr>
                <w:rFonts w:ascii="宋体" w:hAnsi="宋体"/>
                <w:color w:val="auto"/>
                <w:sz w:val="20"/>
              </w:rPr>
            </w:pPr>
            <w:r>
              <w:rPr>
                <w:rFonts w:hint="eastAsia" w:ascii="宋体" w:hAnsi="宋体"/>
                <w:color w:val="auto"/>
                <w:sz w:val="20"/>
              </w:rPr>
              <w:t xml:space="preserve">基于智慧教育相关技术和一流本科专业建设工作的要求和特点，结合睿亚训的产品服务以及学校本身的优势特点，任选上面的一个或多个工作方向，提出一流本科专业建设方案和具体执行计划。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A0</w:t>
            </w:r>
            <w:r>
              <w:rPr>
                <w:rFonts w:hint="eastAsia" w:ascii="宋体" w:hAnsi="宋体"/>
                <w:color w:val="auto"/>
                <w:sz w:val="20"/>
              </w:rPr>
              <w:t>3</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智慧教育助力一流本科课程建设工作的研究与实践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全面开展一流本科课程建设，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建成国家级或省级一流本科课程。</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基于智慧教育相关技术和一流本科课程建设工作的要求和特点，结合睿亚训的产品服务以及学校本身的优势特点，任选上面的一个或多个工作方向，提出一流本科课程建设方案和具体执行计划。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A0</w:t>
            </w:r>
            <w:r>
              <w:rPr>
                <w:rFonts w:hint="eastAsia" w:ascii="宋体" w:hAnsi="宋体"/>
                <w:color w:val="auto"/>
                <w:sz w:val="20"/>
              </w:rPr>
              <w:t>4</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智慧教育助力新文科研究与改革工作的探讨与实践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以“新文科建设发展理念研究与实践、新文科专业优化研究与实践、新文科人才培养模式改革研究与实践、重点领域分类推进研究与实践、新文科师资队伍建设研究与实践、新文科特色质量文化建设研究与实践”</w:t>
            </w:r>
            <w:r>
              <w:rPr>
                <w:rFonts w:hint="eastAsia"/>
              </w:rPr>
              <w:t xml:space="preserve"> </w:t>
            </w:r>
            <w:r>
              <w:rPr>
                <w:rFonts w:hint="eastAsia" w:ascii="宋体" w:hAnsi="宋体"/>
                <w:color w:val="auto"/>
                <w:sz w:val="20"/>
              </w:rPr>
              <w:t>6个选题领域为方向，基于智慧教育相关技术和新文科研究与改革实践工作的要求和特点，结合睿亚训的产品服务以及学校本身的优势特点，任选上面的一个或多个工作方向，提出新文科研究与改革实施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A05</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智慧教育助力现代信息技术与教育教学深度融合推进深化教学改革工作的研究与实践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重塑教育教学形态。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pPr>
              <w:spacing w:before="0" w:after="0" w:line="300" w:lineRule="exact"/>
              <w:ind w:firstLine="400"/>
              <w:jc w:val="left"/>
              <w:rPr>
                <w:rFonts w:ascii="宋体" w:hAnsi="宋体"/>
                <w:color w:val="auto"/>
                <w:sz w:val="20"/>
              </w:rPr>
            </w:pPr>
            <w:r>
              <w:rPr>
                <w:rFonts w:hint="eastAsia" w:ascii="宋体" w:hAnsi="宋体"/>
                <w:color w:val="auto"/>
                <w:sz w:val="20"/>
              </w:rPr>
              <w:t>推动课堂教学革命。以学生发展为中心，通过教学改革促进学习革命，积极推广小班化教学、混合式教学、翻转课堂，大力推进智慧教室建设，构建线上线下相结合的教学模式。因课制宜选择课堂教学方式方法，科学设计课程考核内容和方式，不断提高课堂教学质量。积极引导学生自我管理、主动学习， 激发求知欲望，提高学习效率，提升自主学习能力。</w:t>
            </w:r>
          </w:p>
          <w:p>
            <w:pPr>
              <w:spacing w:before="0" w:after="0" w:line="300" w:lineRule="exact"/>
              <w:ind w:firstLine="400"/>
              <w:jc w:val="left"/>
              <w:rPr>
                <w:rFonts w:ascii="宋体" w:hAnsi="宋体"/>
                <w:color w:val="auto"/>
                <w:sz w:val="20"/>
              </w:rPr>
            </w:pPr>
            <w:r>
              <w:rPr>
                <w:rFonts w:hint="eastAsia" w:ascii="宋体" w:hAnsi="宋体"/>
                <w:color w:val="auto"/>
                <w:sz w:val="20"/>
              </w:rPr>
              <w:t>加强学习过程管理。加强考试管理，严格过程考核，加大过程考核成绩在课程总成绩中的比重。健全能力与知识考核并重的多元化学业考核评价体系，完善学生学习过程监测、评估与反馈机制。综合应用笔试、口试、非标准答案考试等多种形式，全面考核学生对知识的掌握和运用，以考辅教、以考促学，激励学生主动学习、刻苦学习。</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现代信息技术与教育教学深度融合推进深化教学改革工作的要求和特点，结合睿亚训的产品服务以及学校本身的优势特点，任选上面的一个或多个工作方向，提出现代信息技术与教育教学深度融合推进深化教学改革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A06</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自选课题</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面向</w:t>
            </w:r>
            <w:r>
              <w:rPr>
                <w:rFonts w:hint="eastAsia"/>
                <w:color w:val="4B4B4B"/>
                <w:szCs w:val="21"/>
                <w:shd w:val="clear" w:color="auto" w:fill="FFFFFF"/>
              </w:rPr>
              <w:t>《关于加快建设高水平本科教育全面提高人才培养能力的意见》，</w:t>
            </w:r>
            <w:r>
              <w:rPr>
                <w:rFonts w:hint="eastAsia" w:ascii="宋体" w:hAnsi="宋体"/>
                <w:color w:val="auto"/>
                <w:sz w:val="20"/>
              </w:rPr>
              <w:t>根据学校自身的条件和专业的优势，结合睿亚训的产品服务，融合智慧教育、人工智能、大数据、云计算、区块链、虚拟仿真等技术，申请院校自主选择研究方向进行申报。</w:t>
            </w:r>
            <w:r>
              <w:rPr>
                <w:rFonts w:ascii="宋体" w:hAnsi="宋体"/>
                <w:color w:val="auto"/>
                <w:sz w:val="20"/>
              </w:rPr>
              <w:t xml:space="preserve"> </w:t>
            </w:r>
          </w:p>
        </w:tc>
      </w:tr>
    </w:tbl>
    <w:tbl>
      <w:tblPr>
        <w:tblStyle w:val="3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pPr>
              <w:pStyle w:val="3"/>
              <w:numPr>
                <w:ilvl w:val="0"/>
                <w:numId w:val="2"/>
              </w:numPr>
              <w:spacing w:before="163" w:line="500" w:lineRule="exact"/>
              <w:rPr>
                <w:color w:val="auto"/>
              </w:rPr>
            </w:pPr>
          </w:p>
        </w:tc>
      </w:tr>
    </w:tbl>
    <w:tbl>
      <w:tblPr>
        <w:tblStyle w:val="3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pPr>
              <w:pStyle w:val="3"/>
              <w:spacing w:before="163" w:line="500" w:lineRule="exact"/>
              <w:rPr>
                <w:color w:val="auto"/>
              </w:rPr>
            </w:pPr>
          </w:p>
        </w:tc>
      </w:tr>
    </w:tbl>
    <w:p>
      <w:pPr>
        <w:spacing w:before="0" w:after="0" w:line="500" w:lineRule="exact"/>
        <w:ind w:firstLine="0" w:firstLineChars="0"/>
        <w:rPr>
          <w:b/>
          <w:color w:val="auto"/>
          <w:sz w:val="24"/>
          <w:szCs w:val="24"/>
        </w:rPr>
      </w:pPr>
    </w:p>
    <w:p>
      <w:pPr>
        <w:spacing w:before="0" w:after="0" w:line="500" w:lineRule="exact"/>
        <w:ind w:firstLine="0" w:firstLineChars="0"/>
        <w:jc w:val="center"/>
        <w:rPr>
          <w:b/>
          <w:color w:val="auto"/>
          <w:sz w:val="24"/>
          <w:szCs w:val="24"/>
        </w:rPr>
      </w:pPr>
      <w:r>
        <w:rPr>
          <w:rFonts w:hint="eastAsia"/>
          <w:b/>
          <w:color w:val="auto"/>
          <w:sz w:val="24"/>
          <w:szCs w:val="24"/>
        </w:rPr>
        <w:t>表二  “职业教育提质培优行动计划方向”选题列表</w:t>
      </w:r>
    </w:p>
    <w:tbl>
      <w:tblPr>
        <w:tblStyle w:val="32"/>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5"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方向编号</w:t>
            </w:r>
          </w:p>
        </w:tc>
        <w:tc>
          <w:tcPr>
            <w:tcW w:w="155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课题方向</w:t>
            </w:r>
          </w:p>
        </w:tc>
        <w:tc>
          <w:tcPr>
            <w:tcW w:w="637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B01</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智慧教育助力立德树人工作落实的探索与实践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加强职业教育研究，加快构建中国特色职业教育的思想体系、话语体系、政策体系和实践体系。构建职业教育“三全育人”新格局，培育“三全育人”典型学校，培育班主任工作室，建成德育特色案例。创新职业学校思想政治教育模式，培训德育骨干管理人员、思政课专任教师，建设思政课教师研修基地，培养思想政治课教学创新团队、建立思想政治课示范课堂、建成具有职业教育特点的课程思政教育案例。</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基于智慧教育相关技术和立德树人工作的要求和特点，结合睿亚训的产品服务以及学校本身的优势特点，任选上面的一个或多个工作方向，提出立德树人落实方案和具体执行计划。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w:t>
            </w:r>
            <w:r>
              <w:rPr>
                <w:rFonts w:ascii="宋体" w:hAnsi="宋体"/>
                <w:color w:val="auto"/>
                <w:sz w:val="20"/>
              </w:rPr>
              <w:t>2</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智慧教育助力高水平高职学校（或高水平专业群）建设的研究与实践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把发展专科高职教育作为优化高等教育结构和培养大国工匠、能工巧匠的重要方式，输送区域发展急需的高素质技术技能人才。不限制专科高职学校招收中职毕业生的比例，适度扩大专升本招生计划，为部分有意愿的高职（专科）毕业生提供继续深造的机会。推动各地落实职业学校毕业生在落户、就业、参加机关事业单位招聘、职称评审、职级晋升等方面与普通高校毕业生享受同等待遇。扎实推进中国特色高水平高职学校和专业建设计划，加强绩效考核与评价，建成一批高技能人才培养培训基地和技术技能创新平台。探索高职专业认证。推进专科高职学校高质量发展。</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巩固专科高职教育的主体地位工作的要求和特点，结合睿亚训的产品服务以及学校本身的优势特点，任选上面的一个或多个工作方向，提出职业教育相关工作方向的建设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B03</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智慧教育助力服务全民终身学习的制度体系完善工作的研究与实践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健全服务全民终身学习的职业教育制度。推动学历教育与职业培训并举并重，实现优质职业学校年培训人次达到在校生规模的2倍以上，深入推进1+X证书制度试点，推动更多职业学校参与1+X证书制度实施，参与企业大学建设，保证职业学校定向培养士官质量，和龙头企业联合建设示范性职工培训基地。强化职业学校的继续教育功能，建立示范性继续教育基地，建设社区教育示范基地和老年大学示范校，建成优质继续教育网络课程。</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服务全民终身学习的制度体系完善工作的要求和特点，结合睿亚训的产品服务以及学校本身的优势特点，任选上面的一个或多个工作方向，提出职业教育相关工作方向的建设方案和具体执行计划（如：借助智慧教育相关技术，建立多个1+X证书的统一学习实践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B04</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智慧教育助力职业教育产教融合校企合作深化工作的研究与实践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深化职业教育供给侧结构性改革。深化校企合作协同育人模式改革，依托国有企业、大型民企建立示范性流动站，打造实体化运行的示范性职教集团（联盟）、技工教育集团（联盟），推动建设具有辐射引领作用的高水平专业化产教融合实训基地。</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职业教育产教融合校企合作深化工作的要求和特点，结合睿亚训的产品服务以及学校本身的优势特点，任选上面的一个或多个工作方向，提出职业教育相关工作方向的建设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w:t>
            </w:r>
            <w:r>
              <w:rPr>
                <w:rFonts w:ascii="宋体" w:hAnsi="宋体"/>
                <w:color w:val="auto"/>
                <w:sz w:val="20"/>
              </w:rPr>
              <w:t>5</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智慧教育助力职业教育信息化2.0建设行动实施工作的研究与实践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提升职业教育信息化建设水平，建立职业教育信息化标杆学校。推动信息技术与教育教学深度融合，建立健全共建共享的资源认证标准和交易机制，推进国家、省、校三级专业教学资源库建设应用，建设示范性虚拟仿真实训基地，建成职业教育在线精品课程。</w:t>
            </w:r>
          </w:p>
          <w:p>
            <w:pPr>
              <w:spacing w:before="0" w:after="0" w:line="300" w:lineRule="exact"/>
              <w:ind w:firstLine="400"/>
              <w:jc w:val="left"/>
              <w:rPr>
                <w:rFonts w:ascii="宋体" w:hAnsi="宋体"/>
                <w:color w:val="auto"/>
                <w:sz w:val="20"/>
              </w:rPr>
            </w:pPr>
            <w:r>
              <w:rPr>
                <w:rFonts w:hint="eastAsia" w:ascii="宋体" w:hAnsi="宋体"/>
                <w:color w:val="auto"/>
                <w:sz w:val="20"/>
              </w:rPr>
              <w:t>基于智慧教育相关技术和职业教育信息化2.0建设行动实施工作的要求和特点，结合睿亚训的产品服务以及学校本身的优势特点，任选上面的一个或多个工作方向，提出职业教育相关工作方向的建设方案和具体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B0</w:t>
            </w:r>
            <w:r>
              <w:rPr>
                <w:rFonts w:ascii="宋体" w:hAnsi="宋体"/>
                <w:color w:val="auto"/>
                <w:sz w:val="20"/>
              </w:rPr>
              <w:t>6</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自选课题</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面向《职业教育提质培优行动计划（2020—2023年）》，根据学校自身的条件和专业的优势，结合睿亚训的产品服务，融合智慧教育、人工智能、大数据、云计算、区块链、虚拟仿真等技术，申请院校自主选择研究方向进行申报。</w:t>
            </w:r>
          </w:p>
        </w:tc>
      </w:tr>
    </w:tbl>
    <w:tbl>
      <w:tblPr>
        <w:tblStyle w:val="3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pPr>
              <w:pStyle w:val="3"/>
              <w:numPr>
                <w:ilvl w:val="0"/>
                <w:numId w:val="3"/>
              </w:numPr>
              <w:spacing w:before="163" w:line="500" w:lineRule="exact"/>
              <w:rPr>
                <w:color w:val="auto"/>
              </w:rPr>
            </w:pPr>
          </w:p>
        </w:tc>
      </w:tr>
    </w:tbl>
    <w:tbl>
      <w:tblPr>
        <w:tblStyle w:val="3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pPr>
              <w:pStyle w:val="3"/>
              <w:spacing w:before="163" w:line="500" w:lineRule="exact"/>
              <w:rPr>
                <w:color w:val="auto"/>
              </w:rPr>
            </w:pPr>
          </w:p>
        </w:tc>
      </w:tr>
    </w:tbl>
    <w:p>
      <w:pPr>
        <w:spacing w:before="0" w:after="0" w:line="500" w:lineRule="exact"/>
        <w:ind w:firstLine="0" w:firstLineChars="0"/>
        <w:rPr>
          <w:b/>
          <w:color w:val="auto"/>
          <w:sz w:val="24"/>
          <w:szCs w:val="24"/>
        </w:rPr>
      </w:pPr>
    </w:p>
    <w:p>
      <w:pPr>
        <w:spacing w:before="0" w:after="0" w:line="500" w:lineRule="exact"/>
        <w:ind w:firstLine="0" w:firstLineChars="0"/>
        <w:jc w:val="center"/>
        <w:rPr>
          <w:b/>
          <w:color w:val="auto"/>
          <w:sz w:val="24"/>
          <w:szCs w:val="24"/>
        </w:rPr>
      </w:pPr>
      <w:r>
        <w:rPr>
          <w:rFonts w:hint="eastAsia"/>
          <w:b/>
          <w:color w:val="auto"/>
          <w:sz w:val="24"/>
          <w:szCs w:val="24"/>
        </w:rPr>
        <w:t>表三  “智慧教育和专业建设方向”选题列表</w:t>
      </w:r>
    </w:p>
    <w:tbl>
      <w:tblPr>
        <w:tblStyle w:val="32"/>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35"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方向编号</w:t>
            </w:r>
          </w:p>
        </w:tc>
        <w:tc>
          <w:tcPr>
            <w:tcW w:w="155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课题方向</w:t>
            </w:r>
          </w:p>
        </w:tc>
        <w:tc>
          <w:tcPr>
            <w:tcW w:w="6379" w:type="dxa"/>
            <w:shd w:val="clear" w:color="auto" w:fill="D0CECE" w:themeFill="background2" w:themeFillShade="E6"/>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C0</w:t>
            </w:r>
            <w:r>
              <w:rPr>
                <w:rFonts w:hint="eastAsia" w:ascii="宋体" w:hAnsi="宋体"/>
                <w:color w:val="auto"/>
                <w:sz w:val="20"/>
              </w:rPr>
              <w:t>1</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高校智慧教育的核心技术与应用研究</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以学生成长为中心、以教育赋能为目标，关注人工智能、大数据、云计算、区块链、虚拟仿真等技术如何应用到高校日常教学、实验实训、实习就业等人才培养过程之中，研究教学过程中的典型场景、优化场景中的教学方法和模式，提升教学效率，形成个性化、智能化、体系化、数据化的通用智慧教育平台的核心技术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C02</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基于智慧教育的大数据相关专业建设研究与实践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面向大数据相关专业，基于智慧教育相关技术，结合睿亚训的产品服务以及学校本身的专业优势特点，共同建设有行业领先地位的大数据相关专业的人才培养方案、课程资源体系、师资培养体系、实验实训资源体系、行业案例等成果，并形成以学科知识图谱为依托的资源框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C03</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基于智慧教育的人工智能相关专业建设研究与实践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面向人工智能相关专业，基于智慧教育相关技术，结合睿亚训的产品服务以及学校本身的专业优势特点，共同建设有行业领先地位的人工智能相关专业的人才培养方案、课程资源体系、师资培养体系、实验实训资源体系、行业案例等成果，并形成以学科知识图谱为依托的资源框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C04</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基于智慧教育的XX专业建设和学科知识图谱的建立</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不限制专业方向，但必须明确选择一个或多个专业方向（专业群），面向该专业方向的学科建设和领域知识图谱建立，基于智慧教育相关技术，结合睿亚训的产品服务以及学校本身的专业优势特点，共同建设有行业领先地位的相关专业的人才培养方案、课程资源体系、师资培养体系、实验实训资源体系（非必选）、行业案例（非必选）等成果，并形成以学科知识图谱为依托的资源框架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ascii="宋体" w:hAnsi="宋体"/>
                <w:color w:val="auto"/>
                <w:sz w:val="20"/>
              </w:rPr>
              <w:t>C05</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基于智慧教育的教学改革研究与实践</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不限制专业，但必须明确选择一个或多个专业方向（专业群），基于智慧教育相关技术和该专业人才培养的要求和特点，结合睿亚训的产品服务以及学校本身的专业优势特点，提出教学改革的方案和具体执行计划，并选择在实际教学中进行比对分析的方法，评估各种教学改革方法在实践中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vAlign w:val="center"/>
          </w:tcPr>
          <w:p>
            <w:pPr>
              <w:spacing w:before="0" w:after="0"/>
              <w:ind w:firstLine="0" w:firstLineChars="0"/>
              <w:jc w:val="center"/>
              <w:rPr>
                <w:rFonts w:ascii="宋体" w:hAnsi="宋体"/>
                <w:color w:val="auto"/>
                <w:sz w:val="20"/>
              </w:rPr>
            </w:pPr>
            <w:r>
              <w:rPr>
                <w:rFonts w:hint="eastAsia" w:ascii="宋体" w:hAnsi="宋体"/>
                <w:color w:val="auto"/>
                <w:sz w:val="20"/>
              </w:rPr>
              <w:t>C0</w:t>
            </w:r>
            <w:r>
              <w:rPr>
                <w:rFonts w:ascii="宋体" w:hAnsi="宋体"/>
                <w:color w:val="auto"/>
                <w:sz w:val="20"/>
              </w:rPr>
              <w:t>6</w:t>
            </w:r>
          </w:p>
        </w:tc>
        <w:tc>
          <w:tcPr>
            <w:tcW w:w="1559" w:type="dxa"/>
            <w:vAlign w:val="center"/>
          </w:tcPr>
          <w:p>
            <w:pPr>
              <w:tabs>
                <w:tab w:val="left" w:pos="615"/>
              </w:tabs>
              <w:spacing w:before="0" w:after="0"/>
              <w:ind w:firstLine="0" w:firstLineChars="0"/>
              <w:jc w:val="left"/>
              <w:rPr>
                <w:rFonts w:ascii="宋体" w:hAnsi="宋体"/>
                <w:color w:val="auto"/>
                <w:sz w:val="20"/>
              </w:rPr>
            </w:pPr>
            <w:r>
              <w:rPr>
                <w:rFonts w:hint="eastAsia" w:ascii="宋体" w:hAnsi="宋体"/>
                <w:color w:val="auto"/>
                <w:sz w:val="20"/>
              </w:rPr>
              <w:t>自选课题</w:t>
            </w:r>
          </w:p>
        </w:tc>
        <w:tc>
          <w:tcPr>
            <w:tcW w:w="6379" w:type="dxa"/>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根据自身的条件和专业的优势，结合睿亚训的产品服务，融合智慧教育、人工智能、大数据、云计算、区块链、虚拟仿真等技术，申请院校自主选择研究方向进行申报，内容方向包括但不限于数字人文、智慧图书馆、工业互联网、智能制造、数字金融等领域。</w:t>
            </w:r>
          </w:p>
        </w:tc>
      </w:tr>
    </w:tbl>
    <w:tbl>
      <w:tblPr>
        <w:tblStyle w:val="3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pPr>
              <w:pStyle w:val="3"/>
              <w:numPr>
                <w:ilvl w:val="0"/>
                <w:numId w:val="4"/>
              </w:numPr>
              <w:spacing w:before="163" w:line="500" w:lineRule="exact"/>
              <w:rPr>
                <w:color w:val="auto"/>
              </w:rPr>
            </w:pPr>
          </w:p>
        </w:tc>
      </w:tr>
    </w:tbl>
    <w:tbl>
      <w:tblPr>
        <w:tblStyle w:val="3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pPr>
              <w:pStyle w:val="3"/>
              <w:spacing w:before="163" w:line="500" w:lineRule="exact"/>
              <w:rPr>
                <w:color w:val="auto"/>
              </w:rPr>
            </w:pPr>
          </w:p>
        </w:tc>
      </w:tr>
    </w:tbl>
    <w:p>
      <w:pPr>
        <w:spacing w:before="0" w:after="0" w:line="480" w:lineRule="exact"/>
        <w:ind w:firstLine="0" w:firstLineChars="0"/>
        <w:rPr>
          <w:b/>
          <w:color w:val="auto"/>
          <w:sz w:val="24"/>
          <w:szCs w:val="24"/>
        </w:rPr>
      </w:pPr>
    </w:p>
    <w:p>
      <w:pPr>
        <w:pStyle w:val="3"/>
        <w:numPr>
          <w:ilvl w:val="0"/>
          <w:numId w:val="5"/>
        </w:numPr>
        <w:spacing w:before="163" w:line="480" w:lineRule="exact"/>
        <w:rPr>
          <w:color w:val="auto"/>
        </w:rPr>
      </w:pPr>
      <w:r>
        <w:rPr>
          <w:rFonts w:hint="eastAsia"/>
          <w:color w:val="auto"/>
        </w:rPr>
        <w:t>申报条件和要求</w:t>
      </w:r>
    </w:p>
    <w:p>
      <w:pPr>
        <w:spacing w:before="0" w:after="0" w:line="480" w:lineRule="exact"/>
        <w:ind w:firstLine="480"/>
        <w:rPr>
          <w:rFonts w:ascii="宋体" w:hAnsi="宋体"/>
          <w:color w:val="auto"/>
          <w:sz w:val="24"/>
        </w:rPr>
      </w:pPr>
      <w:r>
        <w:rPr>
          <w:rFonts w:hint="eastAsia" w:ascii="宋体" w:hAnsi="宋体"/>
          <w:color w:val="auto"/>
          <w:sz w:val="24"/>
        </w:rPr>
        <w:t>1. 团队成员在选定的研究课题方向有较好的技术储备，包括与申报课题研究内容相关的研究成果、教材、论文、专利、获奖等。</w:t>
      </w:r>
    </w:p>
    <w:p>
      <w:pPr>
        <w:spacing w:before="0" w:after="0" w:line="480" w:lineRule="exact"/>
        <w:ind w:firstLine="480"/>
        <w:rPr>
          <w:rFonts w:ascii="宋体" w:hAnsi="宋体"/>
          <w:color w:val="auto"/>
          <w:sz w:val="24"/>
        </w:rPr>
      </w:pPr>
      <w:r>
        <w:rPr>
          <w:rFonts w:hint="eastAsia" w:ascii="宋体" w:hAnsi="宋体"/>
          <w:color w:val="auto"/>
          <w:sz w:val="24"/>
        </w:rPr>
        <w:t>2. 团队组成合理，分工明确，数量不少于3人。</w:t>
      </w:r>
    </w:p>
    <w:p>
      <w:pPr>
        <w:spacing w:before="0" w:after="0" w:line="480" w:lineRule="exact"/>
        <w:ind w:firstLine="480"/>
        <w:rPr>
          <w:rFonts w:ascii="宋体" w:hAnsi="宋体"/>
          <w:color w:val="auto"/>
          <w:sz w:val="24"/>
        </w:rPr>
      </w:pPr>
      <w:r>
        <w:rPr>
          <w:rFonts w:hint="eastAsia" w:ascii="宋体" w:hAnsi="宋体"/>
          <w:color w:val="auto"/>
          <w:sz w:val="24"/>
        </w:rPr>
        <w:t>3. 优先支持已经设立相关前沿专业/学科，或者已经成立相关研究中心的院校。</w:t>
      </w:r>
    </w:p>
    <w:p>
      <w:pPr>
        <w:spacing w:before="0" w:after="0" w:line="480" w:lineRule="exact"/>
        <w:ind w:firstLine="480"/>
        <w:rPr>
          <w:rFonts w:ascii="宋体" w:hAnsi="宋体"/>
          <w:color w:val="auto"/>
          <w:sz w:val="24"/>
        </w:rPr>
      </w:pPr>
      <w:r>
        <w:rPr>
          <w:rFonts w:hint="eastAsia" w:ascii="宋体" w:hAnsi="宋体"/>
          <w:color w:val="auto"/>
          <w:sz w:val="24"/>
        </w:rPr>
        <w:t>4. 优先支持研究内容有创造性、前瞻性和实用性，有商业化前景的课题。</w:t>
      </w:r>
    </w:p>
    <w:p>
      <w:pPr>
        <w:spacing w:before="0" w:after="0" w:line="480" w:lineRule="exact"/>
        <w:ind w:firstLine="480"/>
        <w:rPr>
          <w:rFonts w:ascii="宋体" w:hAnsi="宋体"/>
          <w:color w:val="auto"/>
          <w:sz w:val="24"/>
        </w:rPr>
      </w:pPr>
      <w:r>
        <w:rPr>
          <w:rFonts w:hint="eastAsia" w:ascii="宋体" w:hAnsi="宋体"/>
          <w:color w:val="auto"/>
          <w:sz w:val="24"/>
        </w:rPr>
        <w:t>5. 优先支持有明确研究成果，成果有应用价值，可复制、可推广的课题，不支持纯理论研究。</w:t>
      </w:r>
    </w:p>
    <w:p>
      <w:pPr>
        <w:spacing w:before="0" w:after="0" w:line="480" w:lineRule="exact"/>
        <w:ind w:firstLine="480"/>
        <w:rPr>
          <w:rFonts w:ascii="宋体" w:hAnsi="宋体"/>
          <w:color w:val="auto"/>
          <w:sz w:val="24"/>
        </w:rPr>
      </w:pPr>
      <w:r>
        <w:rPr>
          <w:rFonts w:hint="eastAsia" w:ascii="宋体" w:hAnsi="宋体"/>
          <w:color w:val="auto"/>
          <w:sz w:val="24"/>
        </w:rPr>
        <w:t>6. 优先支持研究方向明确，研究内容详实，研究方案完整可行的课题。</w:t>
      </w:r>
    </w:p>
    <w:p>
      <w:pPr>
        <w:spacing w:before="0" w:after="0" w:line="480" w:lineRule="exact"/>
        <w:ind w:firstLine="480"/>
        <w:rPr>
          <w:rFonts w:ascii="宋体" w:hAnsi="宋体"/>
          <w:color w:val="auto"/>
          <w:sz w:val="24"/>
        </w:rPr>
      </w:pPr>
      <w:r>
        <w:rPr>
          <w:rFonts w:hint="eastAsia" w:ascii="宋体" w:hAnsi="宋体"/>
          <w:color w:val="auto"/>
          <w:sz w:val="24"/>
        </w:rPr>
        <w:t>7. 优先支持院校对所申报课题有资金、政策、人员和场地等条件支持的课题。</w:t>
      </w:r>
    </w:p>
    <w:p>
      <w:pPr>
        <w:spacing w:before="0" w:after="0" w:line="480" w:lineRule="exact"/>
        <w:ind w:firstLine="480"/>
        <w:rPr>
          <w:rFonts w:ascii="宋体" w:hAnsi="宋体"/>
          <w:color w:val="auto"/>
          <w:sz w:val="24"/>
        </w:rPr>
      </w:pPr>
      <w:r>
        <w:rPr>
          <w:rFonts w:hint="eastAsia" w:ascii="宋体" w:hAnsi="宋体"/>
          <w:color w:val="auto"/>
          <w:sz w:val="24"/>
        </w:rPr>
        <w:t>8. 可支持多个院校成立联合课题组，完成较为复杂的研究课题的联合申报和研究。</w:t>
      </w:r>
    </w:p>
    <w:p>
      <w:pPr>
        <w:spacing w:before="0" w:after="0" w:line="480" w:lineRule="exact"/>
        <w:ind w:firstLine="480"/>
        <w:rPr>
          <w:rFonts w:ascii="宋体" w:hAnsi="宋体"/>
          <w:color w:val="auto"/>
          <w:sz w:val="24"/>
        </w:rPr>
      </w:pPr>
      <w:r>
        <w:rPr>
          <w:rFonts w:hint="eastAsia" w:ascii="宋体" w:hAnsi="宋体"/>
          <w:color w:val="auto"/>
          <w:sz w:val="24"/>
        </w:rPr>
        <w:t>9. 申请人应客观、真实地填写申请书，没有知识产权争议，遵守国家有关知识产权法规。在课题申请</w:t>
      </w:r>
      <w:r>
        <w:rPr>
          <w:rFonts w:ascii="宋体" w:hAnsi="宋体"/>
          <w:color w:val="auto"/>
          <w:sz w:val="24"/>
        </w:rPr>
        <w:t>书</w:t>
      </w:r>
      <w:r>
        <w:rPr>
          <w:rFonts w:hint="eastAsia" w:ascii="宋体" w:hAnsi="宋体"/>
          <w:color w:val="auto"/>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spacing w:before="0" w:after="0" w:line="480" w:lineRule="exact"/>
        <w:ind w:firstLine="480"/>
        <w:rPr>
          <w:rFonts w:ascii="宋体" w:hAnsi="宋体"/>
          <w:color w:val="auto"/>
          <w:sz w:val="24"/>
        </w:rPr>
      </w:pPr>
      <w:r>
        <w:rPr>
          <w:rFonts w:hint="eastAsia" w:ascii="宋体" w:hAnsi="宋体"/>
          <w:color w:val="auto"/>
          <w:sz w:val="24"/>
        </w:rPr>
        <w:t>10.</w:t>
      </w:r>
      <w:r>
        <w:rPr>
          <w:rFonts w:ascii="宋体" w:hAnsi="宋体"/>
          <w:color w:val="auto"/>
          <w:sz w:val="24"/>
        </w:rPr>
        <w:t>资助课题获得的知识产权由</w:t>
      </w:r>
      <w:r>
        <w:rPr>
          <w:rFonts w:hint="eastAsia" w:ascii="宋体" w:hAnsi="宋体"/>
          <w:color w:val="auto"/>
          <w:sz w:val="24"/>
        </w:rPr>
        <w:t>资助方</w:t>
      </w:r>
      <w:r>
        <w:rPr>
          <w:rFonts w:ascii="宋体" w:hAnsi="宋体"/>
          <w:color w:val="auto"/>
          <w:sz w:val="24"/>
        </w:rPr>
        <w:t>和</w:t>
      </w:r>
      <w:r>
        <w:rPr>
          <w:rFonts w:hint="eastAsia" w:ascii="宋体" w:hAnsi="宋体"/>
          <w:color w:val="auto"/>
          <w:sz w:val="24"/>
        </w:rPr>
        <w:t>课题</w:t>
      </w:r>
      <w:r>
        <w:rPr>
          <w:rFonts w:ascii="宋体" w:hAnsi="宋体"/>
          <w:color w:val="auto"/>
          <w:sz w:val="24"/>
        </w:rPr>
        <w:t>承担单位共同所有</w:t>
      </w:r>
      <w:r>
        <w:rPr>
          <w:rFonts w:hint="eastAsia" w:ascii="宋体" w:hAnsi="宋体"/>
          <w:color w:val="auto"/>
          <w:sz w:val="24"/>
        </w:rPr>
        <w:t>。</w:t>
      </w:r>
    </w:p>
    <w:p>
      <w:pPr>
        <w:spacing w:before="0" w:after="0" w:line="480" w:lineRule="exact"/>
        <w:ind w:firstLine="480"/>
        <w:rPr>
          <w:rFonts w:ascii="宋体" w:hAnsi="宋体"/>
          <w:color w:val="auto"/>
          <w:sz w:val="24"/>
        </w:rPr>
      </w:pPr>
      <w:r>
        <w:rPr>
          <w:rFonts w:hint="eastAsia" w:ascii="宋体" w:hAnsi="宋体"/>
          <w:color w:val="auto"/>
          <w:sz w:val="24"/>
        </w:rPr>
        <w:t>11.课题组需具备可独立支配的课题研究基础软硬件条件。</w:t>
      </w:r>
      <w:r>
        <w:rPr>
          <w:rFonts w:ascii="宋体" w:hAnsi="宋体"/>
          <w:color w:val="auto"/>
          <w:sz w:val="24"/>
        </w:rPr>
        <w:t xml:space="preserve"> </w:t>
      </w:r>
    </w:p>
    <w:p>
      <w:pPr>
        <w:spacing w:before="0" w:after="0" w:line="480" w:lineRule="exact"/>
        <w:ind w:firstLine="480"/>
        <w:rPr>
          <w:rFonts w:ascii="宋体" w:hAnsi="宋体"/>
          <w:color w:val="auto"/>
          <w:sz w:val="24"/>
        </w:rPr>
      </w:pPr>
    </w:p>
    <w:p>
      <w:pPr>
        <w:pStyle w:val="3"/>
        <w:numPr>
          <w:ilvl w:val="0"/>
          <w:numId w:val="5"/>
        </w:numPr>
        <w:spacing w:before="163" w:line="480" w:lineRule="exact"/>
        <w:ind w:left="918"/>
        <w:rPr>
          <w:color w:val="auto"/>
        </w:rPr>
      </w:pPr>
      <w:r>
        <w:rPr>
          <w:rFonts w:hint="eastAsia"/>
          <w:color w:val="auto"/>
        </w:rPr>
        <w:t>资源及服务</w:t>
      </w:r>
    </w:p>
    <w:p>
      <w:pPr>
        <w:spacing w:before="0" w:after="0" w:line="480" w:lineRule="exact"/>
        <w:ind w:firstLine="480"/>
        <w:rPr>
          <w:rFonts w:ascii="宋体" w:hAnsi="宋体"/>
          <w:color w:val="auto"/>
          <w:sz w:val="24"/>
          <w:szCs w:val="24"/>
        </w:rPr>
      </w:pPr>
      <w:r>
        <w:rPr>
          <w:rFonts w:hint="eastAsia" w:ascii="宋体" w:hAnsi="宋体"/>
          <w:color w:val="auto"/>
          <w:sz w:val="24"/>
          <w:szCs w:val="24"/>
        </w:rPr>
        <w:t>针对入选合作院校，基金将提供完善的资源和服务体系，以保证院校顺利开展合作课题，并为院校在专业建设、智慧教育、人工智能、大数据、云计算、课程思政、数字人文等领域，以及本课题鼓励支持方向的科研、教学和人才培养提供长期有效的支持。</w:t>
      </w:r>
    </w:p>
    <w:p>
      <w:pPr>
        <w:spacing w:before="0" w:after="0" w:line="480" w:lineRule="exact"/>
        <w:ind w:firstLine="480"/>
        <w:rPr>
          <w:rFonts w:ascii="宋体" w:hAnsi="宋体"/>
          <w:color w:val="auto"/>
          <w:sz w:val="24"/>
          <w:szCs w:val="24"/>
        </w:rPr>
      </w:pPr>
    </w:p>
    <w:p>
      <w:pPr>
        <w:spacing w:before="0" w:after="0" w:line="480" w:lineRule="exact"/>
        <w:ind w:firstLine="480"/>
        <w:rPr>
          <w:rFonts w:ascii="宋体" w:hAnsi="宋体"/>
          <w:color w:val="auto"/>
          <w:sz w:val="24"/>
          <w:szCs w:val="24"/>
        </w:rPr>
      </w:pPr>
    </w:p>
    <w:p>
      <w:pPr>
        <w:spacing w:before="0" w:after="0" w:line="480" w:lineRule="exact"/>
        <w:ind w:firstLine="480"/>
        <w:rPr>
          <w:rFonts w:ascii="宋体" w:hAnsi="宋体"/>
          <w:color w:val="auto"/>
          <w:sz w:val="24"/>
          <w:szCs w:val="24"/>
        </w:rPr>
      </w:pPr>
    </w:p>
    <w:p>
      <w:pPr>
        <w:spacing w:beforeLines="50" w:after="0" w:line="460" w:lineRule="exact"/>
        <w:ind w:firstLine="0" w:firstLineChars="0"/>
        <w:jc w:val="center"/>
        <w:rPr>
          <w:b/>
          <w:color w:val="auto"/>
          <w:sz w:val="24"/>
          <w:szCs w:val="24"/>
        </w:rPr>
      </w:pPr>
      <w:r>
        <w:rPr>
          <w:rFonts w:hint="eastAsia"/>
          <w:b/>
          <w:color w:val="auto"/>
          <w:sz w:val="24"/>
          <w:szCs w:val="24"/>
        </w:rPr>
        <w:t>表四 提供给课题研究的软硬件平台说明</w:t>
      </w:r>
    </w:p>
    <w:tbl>
      <w:tblPr>
        <w:tblStyle w:val="31"/>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126"/>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3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平台编号</w:t>
            </w:r>
          </w:p>
        </w:tc>
        <w:tc>
          <w:tcPr>
            <w:tcW w:w="2126"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技术平台名称</w:t>
            </w:r>
          </w:p>
        </w:tc>
        <w:tc>
          <w:tcPr>
            <w:tcW w:w="5953"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shd w:val="clear" w:color="auto" w:fill="auto"/>
            <w:vAlign w:val="center"/>
          </w:tcPr>
          <w:p>
            <w:pPr>
              <w:spacing w:before="0" w:after="0"/>
              <w:ind w:firstLine="0" w:firstLineChars="0"/>
              <w:jc w:val="center"/>
              <w:rPr>
                <w:rFonts w:ascii="宋体" w:hAnsi="宋体" w:cs="宋体"/>
                <w:color w:val="auto"/>
                <w:sz w:val="20"/>
              </w:rPr>
            </w:pPr>
            <w:r>
              <w:rPr>
                <w:rFonts w:hint="eastAsia" w:ascii="宋体" w:hAnsi="宋体" w:cs="宋体"/>
                <w:color w:val="auto"/>
                <w:sz w:val="20"/>
              </w:rPr>
              <w:t>D01</w:t>
            </w:r>
          </w:p>
        </w:tc>
        <w:tc>
          <w:tcPr>
            <w:tcW w:w="2126" w:type="dxa"/>
            <w:shd w:val="clear" w:color="auto" w:fill="auto"/>
            <w:vAlign w:val="center"/>
          </w:tcPr>
          <w:p>
            <w:pPr>
              <w:pStyle w:val="41"/>
              <w:spacing w:before="0" w:after="0" w:line="320" w:lineRule="exact"/>
              <w:ind w:left="0" w:firstLine="0" w:firstLineChars="0"/>
              <w:jc w:val="center"/>
              <w:rPr>
                <w:rFonts w:ascii="宋体" w:hAnsi="宋体" w:cs="宋体"/>
                <w:color w:val="auto"/>
                <w:sz w:val="20"/>
              </w:rPr>
            </w:pPr>
            <w:r>
              <w:rPr>
                <w:rFonts w:hint="eastAsia" w:ascii="宋体" w:hAnsi="宋体" w:cs="宋体"/>
                <w:color w:val="auto"/>
                <w:sz w:val="20"/>
              </w:rPr>
              <w:t>睿亚训教学平台</w:t>
            </w:r>
          </w:p>
        </w:tc>
        <w:tc>
          <w:tcPr>
            <w:tcW w:w="5953" w:type="dxa"/>
            <w:shd w:val="clear" w:color="auto" w:fill="auto"/>
          </w:tcPr>
          <w:p>
            <w:pPr>
              <w:shd w:val="clear" w:color="auto" w:fill="FFFFFF"/>
              <w:spacing w:before="0" w:after="0"/>
              <w:ind w:firstLine="420" w:firstLineChars="0"/>
              <w:rPr>
                <w:rFonts w:ascii="宋体" w:hAnsi="宋体" w:cs="宋体"/>
                <w:iCs w:val="0"/>
                <w:color w:val="auto"/>
                <w:sz w:val="20"/>
              </w:rPr>
            </w:pPr>
            <w:r>
              <w:rPr>
                <w:rFonts w:hint="eastAsia" w:ascii="宋体" w:hAnsi="宋体" w:cs="宋体"/>
                <w:iCs w:val="0"/>
                <w:color w:val="auto"/>
                <w:sz w:val="20"/>
              </w:rPr>
              <w:t>睿亚训教学平台提供全方位的教学过程支撑环境，包括资源管理、课程组织、教学互动、教学统计等功能。根据高等院校的使用习惯，睿亚训教学平台融合了MOOC、混合式教学等教学形式和理念，为老师和学生提供个性化的交互式教学环境，并为管理者提供统一的教学管理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shd w:val="clear" w:color="auto" w:fill="auto"/>
            <w:vAlign w:val="center"/>
          </w:tcPr>
          <w:p>
            <w:pPr>
              <w:spacing w:before="0" w:after="0"/>
              <w:ind w:firstLine="0" w:firstLineChars="0"/>
              <w:jc w:val="center"/>
              <w:rPr>
                <w:rFonts w:ascii="宋体" w:hAnsi="宋体" w:cs="宋体"/>
                <w:color w:val="auto"/>
                <w:sz w:val="20"/>
              </w:rPr>
            </w:pPr>
            <w:r>
              <w:rPr>
                <w:rFonts w:ascii="宋体" w:hAnsi="宋体" w:cs="宋体"/>
                <w:color w:val="auto"/>
                <w:sz w:val="20"/>
              </w:rPr>
              <w:t>D02</w:t>
            </w:r>
          </w:p>
        </w:tc>
        <w:tc>
          <w:tcPr>
            <w:tcW w:w="2126" w:type="dxa"/>
            <w:shd w:val="clear" w:color="auto" w:fill="auto"/>
            <w:vAlign w:val="center"/>
          </w:tcPr>
          <w:p>
            <w:pPr>
              <w:pStyle w:val="41"/>
              <w:spacing w:before="0" w:after="0" w:line="320" w:lineRule="exact"/>
              <w:ind w:left="0" w:firstLine="0" w:firstLineChars="0"/>
              <w:jc w:val="center"/>
              <w:rPr>
                <w:rFonts w:ascii="宋体" w:hAnsi="宋体" w:cs="宋体"/>
                <w:color w:val="auto"/>
                <w:sz w:val="20"/>
              </w:rPr>
            </w:pPr>
            <w:r>
              <w:rPr>
                <w:rFonts w:hint="eastAsia" w:ascii="宋体" w:hAnsi="宋体" w:cs="宋体"/>
                <w:color w:val="auto"/>
                <w:sz w:val="20"/>
              </w:rPr>
              <w:t>睿亚训教学实验实训一体化平台</w:t>
            </w:r>
          </w:p>
        </w:tc>
        <w:tc>
          <w:tcPr>
            <w:tcW w:w="5953" w:type="dxa"/>
            <w:shd w:val="clear" w:color="auto" w:fill="auto"/>
          </w:tcPr>
          <w:p>
            <w:pPr>
              <w:pStyle w:val="28"/>
              <w:shd w:val="clear" w:color="auto" w:fill="FFFFFF"/>
              <w:spacing w:before="0" w:beforeAutospacing="0" w:after="0" w:afterAutospacing="0"/>
              <w:ind w:firstLine="420"/>
              <w:rPr>
                <w:sz w:val="20"/>
                <w:szCs w:val="20"/>
              </w:rPr>
            </w:pPr>
            <w:r>
              <w:rPr>
                <w:rFonts w:hint="eastAsia"/>
                <w:sz w:val="20"/>
                <w:szCs w:val="20"/>
              </w:rPr>
              <w:t>睿亚训教学实验实训一体化平台基于云计算、大数据等技术，通过虚拟化技术，在</w:t>
            </w:r>
            <w:r>
              <w:rPr>
                <w:rFonts w:hint="eastAsia"/>
                <w:sz w:val="20"/>
              </w:rPr>
              <w:t>提供全方位的教学过程支撑环境的基础上，同时提供满足各学科实验实训所需的计算资源、存储资源。不仅融合MOOC、混合式教学等教学形式和理念，具有资源管理、课程组织</w:t>
            </w:r>
            <w:r>
              <w:rPr>
                <w:rFonts w:hint="eastAsia"/>
                <w:iCs/>
                <w:sz w:val="20"/>
              </w:rPr>
              <w:t>、</w:t>
            </w:r>
            <w:r>
              <w:rPr>
                <w:rFonts w:hint="eastAsia"/>
                <w:sz w:val="20"/>
              </w:rPr>
              <w:t>教学互动</w:t>
            </w:r>
            <w:r>
              <w:rPr>
                <w:rFonts w:hint="eastAsia"/>
                <w:iCs/>
                <w:sz w:val="20"/>
              </w:rPr>
              <w:t>、</w:t>
            </w:r>
            <w:r>
              <w:rPr>
                <w:rFonts w:hint="eastAsia"/>
                <w:sz w:val="20"/>
              </w:rPr>
              <w:t>教学统计等功能，同时，还提供在线实验实训环境管理、远程个性化辅导等线上实验实训室功能。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shd w:val="clear" w:color="auto" w:fill="auto"/>
            <w:vAlign w:val="center"/>
          </w:tcPr>
          <w:p>
            <w:pPr>
              <w:spacing w:before="0" w:after="0"/>
              <w:ind w:firstLine="0" w:firstLineChars="0"/>
              <w:jc w:val="center"/>
              <w:rPr>
                <w:rFonts w:ascii="宋体" w:hAnsi="宋体"/>
                <w:b/>
                <w:color w:val="auto"/>
                <w:sz w:val="20"/>
              </w:rPr>
            </w:pPr>
            <w:r>
              <w:rPr>
                <w:rFonts w:ascii="宋体" w:hAnsi="宋体" w:cs="宋体"/>
                <w:color w:val="auto"/>
                <w:sz w:val="20"/>
              </w:rPr>
              <w:t>D</w:t>
            </w:r>
            <w:r>
              <w:rPr>
                <w:rFonts w:hint="eastAsia" w:ascii="宋体" w:hAnsi="宋体" w:cs="宋体"/>
                <w:color w:val="auto"/>
                <w:sz w:val="20"/>
              </w:rPr>
              <w:t>03</w:t>
            </w:r>
          </w:p>
        </w:tc>
        <w:tc>
          <w:tcPr>
            <w:tcW w:w="2126" w:type="dxa"/>
            <w:shd w:val="clear" w:color="auto" w:fill="auto"/>
            <w:vAlign w:val="center"/>
          </w:tcPr>
          <w:p>
            <w:pPr>
              <w:pStyle w:val="41"/>
              <w:spacing w:before="0" w:after="0" w:line="320" w:lineRule="exact"/>
              <w:ind w:left="0" w:firstLine="0" w:firstLineChars="0"/>
              <w:jc w:val="center"/>
              <w:rPr>
                <w:rFonts w:ascii="宋体" w:hAnsi="宋体"/>
                <w:color w:val="auto"/>
                <w:sz w:val="20"/>
              </w:rPr>
            </w:pPr>
            <w:r>
              <w:rPr>
                <w:rFonts w:hint="eastAsia" w:ascii="宋体" w:hAnsi="宋体"/>
                <w:color w:val="auto"/>
                <w:sz w:val="20"/>
              </w:rPr>
              <w:t>人工智能实践教学资源平台</w:t>
            </w:r>
          </w:p>
        </w:tc>
        <w:tc>
          <w:tcPr>
            <w:tcW w:w="5953" w:type="dxa"/>
            <w:shd w:val="clear" w:color="auto" w:fill="auto"/>
          </w:tcPr>
          <w:p>
            <w:pPr>
              <w:pStyle w:val="28"/>
              <w:shd w:val="clear" w:color="auto" w:fill="FFFFFF"/>
              <w:spacing w:before="0" w:beforeAutospacing="0" w:after="0" w:afterAutospacing="0"/>
              <w:ind w:firstLine="420"/>
              <w:rPr>
                <w:sz w:val="20"/>
                <w:szCs w:val="20"/>
              </w:rPr>
            </w:pPr>
            <w:r>
              <w:rPr>
                <w:rFonts w:hint="eastAsia"/>
                <w:sz w:val="20"/>
                <w:szCs w:val="20"/>
              </w:rPr>
              <w:t>人工智能实践教学资源平台面向高校人工智能及相关专业，提供机器学习、深度学习、计算机视觉、自然语言处理等专业课程体系，融合TensorFlow/Pytorch两大主流框架，包含课件PPT、学习视频、实验实训等教学资源，同时提供源代码、数据以及在线实验环境，帮助高校快速建立人工智能专业教学与实践体系，满足创新人才培养与科研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ind w:firstLine="0" w:firstLineChars="0"/>
              <w:jc w:val="center"/>
              <w:rPr>
                <w:rFonts w:ascii="宋体" w:hAnsi="宋体"/>
                <w:color w:val="auto"/>
                <w:sz w:val="20"/>
              </w:rPr>
            </w:pPr>
            <w:r>
              <w:rPr>
                <w:rFonts w:ascii="宋体" w:hAnsi="宋体"/>
                <w:color w:val="auto"/>
                <w:sz w:val="20"/>
              </w:rPr>
              <w:t>D</w:t>
            </w:r>
            <w:r>
              <w:rPr>
                <w:rFonts w:hint="eastAsia" w:ascii="宋体" w:hAnsi="宋体"/>
                <w:color w:val="auto"/>
                <w:sz w:val="20"/>
              </w:rPr>
              <w:t>04</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before="0" w:after="0" w:line="320" w:lineRule="exact"/>
              <w:ind w:left="0" w:firstLine="0" w:firstLineChars="0"/>
              <w:jc w:val="center"/>
              <w:rPr>
                <w:rFonts w:ascii="宋体" w:hAnsi="宋体"/>
                <w:color w:val="auto"/>
                <w:sz w:val="20"/>
              </w:rPr>
            </w:pPr>
            <w:r>
              <w:rPr>
                <w:rFonts w:hint="eastAsia" w:ascii="宋体" w:hAnsi="宋体"/>
                <w:color w:val="auto"/>
                <w:sz w:val="20"/>
              </w:rPr>
              <w:t>大数据实践教学资源平台</w:t>
            </w:r>
          </w:p>
        </w:tc>
        <w:tc>
          <w:tcPr>
            <w:tcW w:w="5953" w:type="dxa"/>
            <w:tcBorders>
              <w:top w:val="single" w:color="auto" w:sz="4" w:space="0"/>
              <w:left w:val="single" w:color="auto" w:sz="4" w:space="0"/>
              <w:bottom w:val="single" w:color="auto" w:sz="4" w:space="0"/>
              <w:right w:val="single" w:color="auto" w:sz="4" w:space="0"/>
            </w:tcBorders>
            <w:shd w:val="clear" w:color="auto" w:fill="auto"/>
          </w:tcPr>
          <w:p>
            <w:pPr>
              <w:pStyle w:val="28"/>
              <w:shd w:val="clear" w:color="auto" w:fill="FFFFFF"/>
              <w:spacing w:before="0" w:beforeAutospacing="0" w:after="0" w:afterAutospacing="0"/>
              <w:ind w:firstLine="420"/>
              <w:rPr>
                <w:sz w:val="20"/>
                <w:szCs w:val="20"/>
              </w:rPr>
            </w:pPr>
            <w:r>
              <w:rPr>
                <w:rFonts w:hint="eastAsia"/>
                <w:sz w:val="20"/>
                <w:szCs w:val="20"/>
              </w:rPr>
              <w:t>大数据实践教学资源平台面向高校大数据技术开发、大数据分析管理及相关专业，提供从数据采集存储、大数据计算、数据挖掘与分析、数据可视化等专业课程体系，融合Hadoop/Spark两大主流技术体系，包含课件PPT、学习视频、实验实训等教学资源，同时提供源代码、数据以及在线实验环境，帮助高校快速建立大数据专业教学与实践体系，满足创新人才培养与科研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0" w:after="0"/>
              <w:ind w:firstLine="0" w:firstLineChars="0"/>
              <w:jc w:val="center"/>
              <w:rPr>
                <w:rFonts w:ascii="宋体" w:hAnsi="宋体" w:cs="宋体"/>
                <w:color w:val="auto"/>
                <w:sz w:val="20"/>
              </w:rPr>
            </w:pPr>
            <w:r>
              <w:rPr>
                <w:rFonts w:ascii="宋体" w:hAnsi="宋体" w:cs="宋体"/>
                <w:color w:val="auto"/>
                <w:sz w:val="20"/>
              </w:rPr>
              <w:t>D</w:t>
            </w:r>
            <w:r>
              <w:rPr>
                <w:rFonts w:hint="eastAsia" w:ascii="宋体" w:hAnsi="宋体" w:cs="宋体"/>
                <w:color w:val="auto"/>
                <w:sz w:val="20"/>
              </w:rPr>
              <w:t>05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1"/>
              <w:spacing w:before="0" w:after="0" w:line="320" w:lineRule="exact"/>
              <w:ind w:left="0" w:firstLine="0" w:firstLineChars="0"/>
              <w:jc w:val="center"/>
              <w:rPr>
                <w:rFonts w:ascii="宋体" w:hAnsi="宋体" w:cs="宋体"/>
                <w:color w:val="auto"/>
                <w:sz w:val="20"/>
              </w:rPr>
            </w:pPr>
            <w:r>
              <w:rPr>
                <w:rFonts w:hint="eastAsia" w:ascii="宋体" w:hAnsi="宋体" w:cs="宋体"/>
                <w:color w:val="auto"/>
                <w:sz w:val="20"/>
              </w:rPr>
              <w:t>行业案例</w:t>
            </w:r>
          </w:p>
        </w:tc>
        <w:tc>
          <w:tcPr>
            <w:tcW w:w="5953" w:type="dxa"/>
            <w:tcBorders>
              <w:top w:val="single" w:color="auto" w:sz="4" w:space="0"/>
              <w:left w:val="single" w:color="auto" w:sz="4" w:space="0"/>
              <w:bottom w:val="single" w:color="auto" w:sz="4" w:space="0"/>
              <w:right w:val="single" w:color="auto" w:sz="4" w:space="0"/>
            </w:tcBorders>
            <w:shd w:val="clear" w:color="auto" w:fill="auto"/>
          </w:tcPr>
          <w:p>
            <w:pPr>
              <w:pStyle w:val="28"/>
              <w:shd w:val="clear" w:color="auto" w:fill="FFFFFF"/>
              <w:spacing w:before="0" w:beforeAutospacing="0" w:after="0" w:afterAutospacing="0"/>
              <w:ind w:firstLine="420"/>
              <w:rPr>
                <w:sz w:val="20"/>
                <w:szCs w:val="20"/>
              </w:rPr>
            </w:pPr>
            <w:r>
              <w:rPr>
                <w:rFonts w:hint="eastAsia"/>
                <w:sz w:val="20"/>
                <w:szCs w:val="20"/>
              </w:rPr>
              <w:t>行业案例包含大数据与人工智能两个方向。大数据方向主要有零售、电商、新闻、运营商、广告流量、交通预测、疫情防控等行业的数据采集存储、实时计算分析、可视化展示等案例；人工智能方向主要是计算机视觉与语音处理技术在无人车、机器人上的应用，包含人脸识别、语音控制、视觉抓取、无人驾驶等应用案例。</w:t>
            </w:r>
          </w:p>
        </w:tc>
      </w:tr>
    </w:tbl>
    <w:p>
      <w:pPr>
        <w:spacing w:before="0" w:after="0" w:line="48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0" w:after="0" w:line="480" w:lineRule="exact"/>
              <w:ind w:firstLine="0" w:firstLineChars="0"/>
              <w:jc w:val="center"/>
              <w:rPr>
                <w:rFonts w:ascii="宋体" w:hAnsi="宋体"/>
                <w:b/>
                <w:color w:val="auto"/>
                <w:sz w:val="20"/>
                <w:szCs w:val="22"/>
              </w:rPr>
            </w:pPr>
          </w:p>
        </w:tc>
      </w:tr>
    </w:tbl>
    <w:p>
      <w:pPr>
        <w:pStyle w:val="3"/>
        <w:numPr>
          <w:ilvl w:val="0"/>
          <w:numId w:val="5"/>
        </w:numPr>
        <w:spacing w:before="163" w:line="480" w:lineRule="exact"/>
        <w:ind w:left="918"/>
        <w:rPr>
          <w:color w:val="auto"/>
        </w:rPr>
      </w:pPr>
      <w:r>
        <w:rPr>
          <w:rFonts w:hint="eastAsia"/>
          <w:color w:val="auto"/>
        </w:rPr>
        <w:t>课题申报说明</w:t>
      </w:r>
    </w:p>
    <w:p>
      <w:pPr>
        <w:pStyle w:val="3"/>
        <w:numPr>
          <w:ilvl w:val="0"/>
          <w:numId w:val="0"/>
        </w:numPr>
        <w:spacing w:beforeLines="0" w:line="48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 申请人须仔细阅读申请指南，按照指南详细填写申请书，填写不合要求的课题会按照格式不符合要求处理。</w:t>
      </w:r>
    </w:p>
    <w:p>
      <w:pPr>
        <w:pStyle w:val="3"/>
        <w:numPr>
          <w:ilvl w:val="0"/>
          <w:numId w:val="0"/>
        </w:numPr>
        <w:spacing w:beforeLines="0" w:line="48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 请各课题申请人按要求填写申请书（申请书中手机和邮箱必须填写），加盖公章及签字后扫描上传至：</w:t>
      </w:r>
      <w:r>
        <w:rPr>
          <w:rFonts w:eastAsia="宋体"/>
          <w:bCs w:val="0"/>
          <w:color w:val="auto"/>
          <w:sz w:val="24"/>
          <w:szCs w:val="24"/>
        </w:rPr>
        <w:t>http://cxjj.cutech.edu.cn</w:t>
      </w:r>
      <w:r>
        <w:rPr>
          <w:rFonts w:hint="eastAsia" w:ascii="宋体" w:hAnsi="宋体" w:eastAsia="宋体"/>
          <w:b w:val="0"/>
          <w:bCs w:val="0"/>
          <w:color w:val="auto"/>
          <w:sz w:val="24"/>
          <w:szCs w:val="24"/>
        </w:rPr>
        <w:t>；为方便评审，申请书扫描件请按以下命名规则命名：学校名称+申请人姓名 。</w:t>
      </w:r>
    </w:p>
    <w:p>
      <w:pPr>
        <w:pStyle w:val="3"/>
        <w:numPr>
          <w:ilvl w:val="0"/>
          <w:numId w:val="0"/>
        </w:numPr>
        <w:spacing w:beforeLines="0" w:line="480" w:lineRule="exact"/>
        <w:ind w:left="199" w:leftChars="95" w:firstLine="480" w:firstLineChars="200"/>
        <w:rPr>
          <w:rFonts w:ascii="宋体" w:hAnsi="宋体" w:eastAsia="宋体"/>
          <w:b w:val="0"/>
          <w:bCs w:val="0"/>
          <w:sz w:val="24"/>
          <w:szCs w:val="24"/>
        </w:rPr>
      </w:pPr>
      <w:r>
        <w:rPr>
          <w:rFonts w:hint="eastAsia" w:ascii="宋体" w:hAnsi="宋体" w:eastAsia="宋体"/>
          <w:b w:val="0"/>
          <w:bCs w:val="0"/>
          <w:color w:val="auto"/>
          <w:sz w:val="24"/>
          <w:szCs w:val="24"/>
        </w:rPr>
        <w:t xml:space="preserve">3. </w:t>
      </w:r>
      <w:r>
        <w:rPr>
          <w:rFonts w:hint="eastAsia" w:ascii="宋体" w:hAnsi="宋体" w:eastAsia="宋体"/>
          <w:b w:val="0"/>
          <w:bCs w:val="0"/>
          <w:sz w:val="24"/>
          <w:szCs w:val="24"/>
        </w:rPr>
        <w:t>申请截止时间为20</w:t>
      </w:r>
      <w:r>
        <w:rPr>
          <w:rFonts w:ascii="宋体" w:hAnsi="宋体" w:eastAsia="宋体"/>
          <w:b w:val="0"/>
          <w:bCs w:val="0"/>
          <w:sz w:val="24"/>
          <w:szCs w:val="24"/>
        </w:rPr>
        <w:t>2</w:t>
      </w:r>
      <w:r>
        <w:rPr>
          <w:rFonts w:hint="eastAsia" w:ascii="宋体" w:hAnsi="宋体" w:eastAsia="宋体"/>
          <w:b w:val="0"/>
          <w:bCs w:val="0"/>
          <w:sz w:val="24"/>
          <w:szCs w:val="24"/>
        </w:rPr>
        <w:t>1年9月30日。</w:t>
      </w:r>
    </w:p>
    <w:p>
      <w:pPr>
        <w:pStyle w:val="3"/>
        <w:numPr>
          <w:ilvl w:val="0"/>
          <w:numId w:val="0"/>
        </w:numPr>
        <w:spacing w:beforeLines="0" w:line="48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sz w:val="24"/>
          <w:szCs w:val="24"/>
        </w:rPr>
        <w:t>4. 课题的计划执行时间为</w:t>
      </w:r>
      <w:r>
        <w:rPr>
          <w:rFonts w:ascii="宋体" w:hAnsi="宋体" w:eastAsia="宋体"/>
          <w:b w:val="0"/>
          <w:sz w:val="24"/>
          <w:szCs w:val="24"/>
        </w:rPr>
        <w:t>20</w:t>
      </w:r>
      <w:r>
        <w:rPr>
          <w:rFonts w:hint="eastAsia" w:ascii="宋体" w:hAnsi="宋体" w:eastAsia="宋体"/>
          <w:b w:val="0"/>
          <w:sz w:val="24"/>
          <w:szCs w:val="24"/>
        </w:rPr>
        <w:t>22</w:t>
      </w:r>
      <w:r>
        <w:rPr>
          <w:rFonts w:ascii="宋体" w:hAnsi="宋体" w:eastAsia="宋体"/>
          <w:b w:val="0"/>
          <w:sz w:val="24"/>
          <w:szCs w:val="24"/>
        </w:rPr>
        <w:t>年</w:t>
      </w:r>
      <w:r>
        <w:rPr>
          <w:rFonts w:hint="eastAsia" w:ascii="宋体" w:hAnsi="宋体" w:eastAsia="宋体"/>
          <w:b w:val="0"/>
          <w:sz w:val="24"/>
          <w:szCs w:val="24"/>
        </w:rPr>
        <w:t>1</w:t>
      </w:r>
      <w:r>
        <w:rPr>
          <w:rFonts w:ascii="宋体" w:hAnsi="宋体" w:eastAsia="宋体"/>
          <w:b w:val="0"/>
          <w:sz w:val="24"/>
          <w:szCs w:val="24"/>
        </w:rPr>
        <w:t>月1日～20</w:t>
      </w:r>
      <w:r>
        <w:rPr>
          <w:rFonts w:hint="eastAsia" w:ascii="宋体" w:hAnsi="宋体" w:eastAsia="宋体"/>
          <w:b w:val="0"/>
          <w:sz w:val="24"/>
          <w:szCs w:val="24"/>
        </w:rPr>
        <w:t>22</w:t>
      </w:r>
      <w:r>
        <w:rPr>
          <w:rFonts w:ascii="宋体" w:hAnsi="宋体" w:eastAsia="宋体"/>
          <w:b w:val="0"/>
          <w:sz w:val="24"/>
          <w:szCs w:val="24"/>
        </w:rPr>
        <w:t>年</w:t>
      </w:r>
      <w:r>
        <w:rPr>
          <w:rFonts w:hint="eastAsia" w:ascii="宋体" w:hAnsi="宋体" w:eastAsia="宋体"/>
          <w:b w:val="0"/>
          <w:sz w:val="24"/>
          <w:szCs w:val="24"/>
        </w:rPr>
        <w:t>12</w:t>
      </w:r>
      <w:r>
        <w:rPr>
          <w:rFonts w:ascii="宋体" w:hAnsi="宋体" w:eastAsia="宋体"/>
          <w:b w:val="0"/>
          <w:sz w:val="24"/>
          <w:szCs w:val="24"/>
        </w:rPr>
        <w:t>月</w:t>
      </w:r>
      <w:r>
        <w:rPr>
          <w:rFonts w:hint="eastAsia" w:ascii="宋体" w:hAnsi="宋体" w:eastAsia="宋体"/>
          <w:b w:val="0"/>
          <w:sz w:val="24"/>
          <w:szCs w:val="24"/>
        </w:rPr>
        <w:t>31</w:t>
      </w:r>
      <w:r>
        <w:rPr>
          <w:rFonts w:ascii="宋体" w:hAnsi="宋体" w:eastAsia="宋体"/>
          <w:b w:val="0"/>
          <w:sz w:val="24"/>
          <w:szCs w:val="24"/>
        </w:rPr>
        <w:t>日</w:t>
      </w:r>
      <w:r>
        <w:rPr>
          <w:rFonts w:hint="eastAsia" w:ascii="宋体" w:hAnsi="宋体" w:eastAsia="宋体"/>
          <w:b w:val="0"/>
          <w:bCs w:val="0"/>
          <w:sz w:val="24"/>
          <w:szCs w:val="24"/>
        </w:rPr>
        <w:t>，</w:t>
      </w:r>
      <w:r>
        <w:rPr>
          <w:rFonts w:hint="eastAsia" w:ascii="宋体" w:hAnsi="宋体" w:eastAsia="宋体"/>
          <w:b w:val="0"/>
          <w:bCs w:val="0"/>
          <w:color w:val="auto"/>
          <w:sz w:val="24"/>
          <w:szCs w:val="24"/>
        </w:rPr>
        <w:t>可根据课题复杂程度适度延长执行周期，最长不超过两年。</w:t>
      </w:r>
    </w:p>
    <w:p>
      <w:pPr>
        <w:pStyle w:val="3"/>
        <w:numPr>
          <w:ilvl w:val="0"/>
          <w:numId w:val="0"/>
        </w:numPr>
        <w:spacing w:beforeLines="0" w:line="48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 课题选题列表上的选题方向都不限定课题数量，但是如果存在内容重复的相似课题，专家组将根据课题组技术积累、课题方案、课题支撑条件等要素择优选择资助课题。</w:t>
      </w:r>
    </w:p>
    <w:p>
      <w:pPr>
        <w:pStyle w:val="3"/>
        <w:numPr>
          <w:ilvl w:val="0"/>
          <w:numId w:val="0"/>
        </w:numPr>
        <w:spacing w:beforeLines="0" w:line="480" w:lineRule="exact"/>
        <w:ind w:left="199" w:leftChars="95"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6. 如果以联合课题组的形式申请课题，需要列明不同学校单位的课题任务。</w:t>
      </w:r>
    </w:p>
    <w:p>
      <w:pPr>
        <w:pStyle w:val="3"/>
        <w:numPr>
          <w:ilvl w:val="0"/>
          <w:numId w:val="0"/>
        </w:numPr>
        <w:spacing w:beforeLines="0" w:line="480" w:lineRule="exact"/>
        <w:ind w:left="199" w:leftChars="95" w:firstLine="482" w:firstLineChars="200"/>
        <w:rPr>
          <w:color w:val="auto"/>
        </w:rPr>
      </w:pPr>
      <w:r>
        <w:rPr>
          <w:rFonts w:hint="eastAsia" w:ascii="宋体" w:hAnsi="宋体" w:eastAsia="宋体"/>
          <w:bCs w:val="0"/>
          <w:color w:val="auto"/>
          <w:sz w:val="24"/>
          <w:szCs w:val="24"/>
        </w:rPr>
        <w:t>7. 课题申请人无需向资助企业额外购买配套设备或软件。</w:t>
      </w:r>
    </w:p>
    <w:p>
      <w:pPr>
        <w:spacing w:before="0" w:after="0" w:line="480" w:lineRule="exact"/>
        <w:ind w:firstLine="493" w:firstLineChars="235"/>
        <w:rPr>
          <w:iCs w:val="0"/>
        </w:rPr>
      </w:pPr>
    </w:p>
    <w:p>
      <w:pPr>
        <w:pStyle w:val="3"/>
        <w:numPr>
          <w:ilvl w:val="0"/>
          <w:numId w:val="0"/>
        </w:numPr>
        <w:spacing w:before="163" w:line="480" w:lineRule="exact"/>
        <w:ind w:firstLine="560" w:firstLineChars="200"/>
      </w:pPr>
      <w:r>
        <w:rPr>
          <w:rFonts w:hint="eastAsia"/>
        </w:rPr>
        <w:t>五、联系人及联系方式</w:t>
      </w:r>
    </w:p>
    <w:p>
      <w:pPr>
        <w:spacing w:before="0" w:after="0" w:line="480" w:lineRule="exact"/>
        <w:ind w:firstLine="482"/>
        <w:rPr>
          <w:rFonts w:ascii="宋体" w:hAnsi="宋体"/>
          <w:b/>
          <w:sz w:val="24"/>
          <w:szCs w:val="24"/>
        </w:rPr>
      </w:pPr>
      <w:r>
        <w:rPr>
          <w:rFonts w:hint="eastAsia" w:ascii="宋体" w:hAnsi="宋体"/>
          <w:b/>
          <w:iCs w:val="0"/>
          <w:sz w:val="24"/>
          <w:szCs w:val="24"/>
        </w:rPr>
        <w:t>教育部科技发展中心联系人：</w:t>
      </w:r>
    </w:p>
    <w:p>
      <w:pPr>
        <w:spacing w:before="0" w:after="0" w:line="480" w:lineRule="exact"/>
        <w:ind w:firstLine="480"/>
        <w:rPr>
          <w:rFonts w:ascii="宋体" w:hAnsi="宋体"/>
          <w:iCs w:val="0"/>
          <w:sz w:val="24"/>
          <w:szCs w:val="24"/>
        </w:rPr>
      </w:pPr>
      <w:r>
        <w:rPr>
          <w:rFonts w:hint="eastAsia" w:ascii="宋体" w:hAnsi="宋体"/>
          <w:iCs w:val="0"/>
          <w:sz w:val="24"/>
          <w:szCs w:val="24"/>
        </w:rPr>
        <w:t>张  杰    电话：010-62514689</w:t>
      </w:r>
    </w:p>
    <w:p>
      <w:pPr>
        <w:spacing w:before="0" w:after="0" w:line="480" w:lineRule="exact"/>
        <w:ind w:firstLine="482"/>
        <w:rPr>
          <w:rFonts w:ascii="宋体" w:hAnsi="宋体"/>
          <w:b/>
          <w:iCs w:val="0"/>
          <w:sz w:val="24"/>
          <w:szCs w:val="24"/>
        </w:rPr>
      </w:pPr>
    </w:p>
    <w:p>
      <w:pPr>
        <w:spacing w:before="0" w:after="0" w:line="480" w:lineRule="exact"/>
        <w:ind w:firstLine="482"/>
        <w:rPr>
          <w:rFonts w:ascii="宋体" w:hAnsi="宋体"/>
          <w:iCs w:val="0"/>
          <w:sz w:val="24"/>
          <w:szCs w:val="24"/>
        </w:rPr>
      </w:pPr>
      <w:r>
        <w:rPr>
          <w:rFonts w:hint="eastAsia" w:ascii="宋体" w:hAnsi="宋体"/>
          <w:b/>
          <w:iCs w:val="0"/>
          <w:sz w:val="24"/>
          <w:szCs w:val="24"/>
        </w:rPr>
        <w:t>企业联系人</w:t>
      </w:r>
      <w:r>
        <w:rPr>
          <w:rFonts w:hint="eastAsia" w:ascii="宋体" w:hAnsi="宋体"/>
          <w:iCs w:val="0"/>
          <w:sz w:val="24"/>
          <w:szCs w:val="24"/>
        </w:rPr>
        <w:t>：</w:t>
      </w:r>
    </w:p>
    <w:p>
      <w:pPr>
        <w:spacing w:before="0" w:after="0" w:line="480" w:lineRule="exact"/>
        <w:ind w:firstLine="480"/>
        <w:rPr>
          <w:rFonts w:ascii="宋体" w:hAnsi="宋体"/>
          <w:iCs w:val="0"/>
          <w:sz w:val="24"/>
          <w:szCs w:val="24"/>
        </w:rPr>
      </w:pPr>
      <w:r>
        <w:rPr>
          <w:rFonts w:hint="eastAsia" w:ascii="宋体" w:hAnsi="宋体"/>
          <w:iCs w:val="0"/>
          <w:sz w:val="24"/>
          <w:szCs w:val="24"/>
        </w:rPr>
        <w:t>业务支持：</w:t>
      </w:r>
    </w:p>
    <w:p>
      <w:pPr>
        <w:spacing w:before="0" w:after="0" w:line="480" w:lineRule="exact"/>
        <w:ind w:firstLine="480"/>
        <w:rPr>
          <w:rFonts w:ascii="宋体" w:hAnsi="宋体"/>
          <w:iCs w:val="0"/>
          <w:sz w:val="24"/>
          <w:szCs w:val="24"/>
        </w:rPr>
      </w:pPr>
      <w:r>
        <w:rPr>
          <w:rFonts w:hint="eastAsia" w:ascii="宋体" w:hAnsi="宋体"/>
          <w:iCs w:val="0"/>
          <w:sz w:val="24"/>
          <w:szCs w:val="24"/>
        </w:rPr>
        <w:t>喻丽梅    电话：</w:t>
      </w:r>
      <w:r>
        <w:rPr>
          <w:rFonts w:ascii="宋体" w:hAnsi="宋体"/>
          <w:iCs w:val="0"/>
          <w:sz w:val="24"/>
          <w:szCs w:val="24"/>
        </w:rPr>
        <w:t>13817261748</w:t>
      </w:r>
    </w:p>
    <w:p>
      <w:pPr>
        <w:spacing w:before="0" w:after="0" w:line="480" w:lineRule="exact"/>
        <w:ind w:firstLine="480"/>
        <w:rPr>
          <w:rFonts w:ascii="宋体" w:hAnsi="宋体"/>
          <w:iCs w:val="0"/>
          <w:sz w:val="24"/>
          <w:szCs w:val="24"/>
        </w:rPr>
      </w:pPr>
      <w:r>
        <w:rPr>
          <w:rFonts w:hint="eastAsia" w:ascii="宋体" w:hAnsi="宋体"/>
          <w:iCs w:val="0"/>
          <w:sz w:val="24"/>
          <w:szCs w:val="24"/>
        </w:rPr>
        <w:t>技术支持：</w:t>
      </w:r>
    </w:p>
    <w:p>
      <w:pPr>
        <w:spacing w:before="0" w:after="0" w:line="480" w:lineRule="exact"/>
        <w:ind w:firstLine="480"/>
        <w:rPr>
          <w:rFonts w:ascii="宋体" w:hAnsi="宋体"/>
          <w:iCs w:val="0"/>
          <w:sz w:val="24"/>
          <w:szCs w:val="24"/>
        </w:rPr>
      </w:pPr>
      <w:r>
        <w:rPr>
          <w:rFonts w:hint="eastAsia" w:ascii="宋体" w:hAnsi="宋体"/>
          <w:iCs w:val="0"/>
          <w:sz w:val="24"/>
          <w:szCs w:val="24"/>
        </w:rPr>
        <w:t>包  欣    电话：</w:t>
      </w:r>
      <w:r>
        <w:rPr>
          <w:rFonts w:ascii="宋体" w:hAnsi="宋体"/>
          <w:iCs w:val="0"/>
          <w:sz w:val="24"/>
          <w:szCs w:val="24"/>
        </w:rPr>
        <w:t>13120733296</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88" w:bottom="1134" w:left="1588"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748F7027"/>
    <w:multiLevelType w:val="multilevel"/>
    <w:tmpl w:val="748F7027"/>
    <w:lvl w:ilvl="0" w:tentative="0">
      <w:start w:val="2"/>
      <w:numFmt w:val="japaneseCounting"/>
      <w:lvlText w:val="%1、"/>
      <w:lvlJc w:val="left"/>
      <w:pPr>
        <w:ind w:left="920" w:hanging="720"/>
      </w:pPr>
      <w:rPr>
        <w:rFonts w:hint="eastAsia"/>
      </w:rPr>
    </w:lvl>
    <w:lvl w:ilvl="1" w:tentative="0">
      <w:start w:val="1"/>
      <w:numFmt w:val="lowerLetter"/>
      <w:lvlText w:val="%2)"/>
      <w:lvlJc w:val="left"/>
      <w:pPr>
        <w:ind w:left="1160" w:hanging="480"/>
      </w:pPr>
    </w:lvl>
    <w:lvl w:ilvl="2" w:tentative="0">
      <w:start w:val="1"/>
      <w:numFmt w:val="lowerRoman"/>
      <w:lvlText w:val="%3."/>
      <w:lvlJc w:val="right"/>
      <w:pPr>
        <w:ind w:left="1640" w:hanging="480"/>
      </w:pPr>
    </w:lvl>
    <w:lvl w:ilvl="3" w:tentative="0">
      <w:start w:val="1"/>
      <w:numFmt w:val="decimal"/>
      <w:lvlText w:val="%4."/>
      <w:lvlJc w:val="left"/>
      <w:pPr>
        <w:ind w:left="2120" w:hanging="480"/>
      </w:pPr>
    </w:lvl>
    <w:lvl w:ilvl="4" w:tentative="0">
      <w:start w:val="1"/>
      <w:numFmt w:val="lowerLetter"/>
      <w:lvlText w:val="%5)"/>
      <w:lvlJc w:val="left"/>
      <w:pPr>
        <w:ind w:left="2600" w:hanging="480"/>
      </w:pPr>
    </w:lvl>
    <w:lvl w:ilvl="5" w:tentative="0">
      <w:start w:val="1"/>
      <w:numFmt w:val="lowerRoman"/>
      <w:lvlText w:val="%6."/>
      <w:lvlJc w:val="right"/>
      <w:pPr>
        <w:ind w:left="3080" w:hanging="480"/>
      </w:pPr>
    </w:lvl>
    <w:lvl w:ilvl="6" w:tentative="0">
      <w:start w:val="1"/>
      <w:numFmt w:val="decimal"/>
      <w:lvlText w:val="%7."/>
      <w:lvlJc w:val="left"/>
      <w:pPr>
        <w:ind w:left="3560" w:hanging="480"/>
      </w:pPr>
    </w:lvl>
    <w:lvl w:ilvl="7" w:tentative="0">
      <w:start w:val="1"/>
      <w:numFmt w:val="lowerLetter"/>
      <w:lvlText w:val="%8)"/>
      <w:lvlJc w:val="left"/>
      <w:pPr>
        <w:ind w:left="4040" w:hanging="480"/>
      </w:pPr>
    </w:lvl>
    <w:lvl w:ilvl="8" w:tentative="0">
      <w:start w:val="1"/>
      <w:numFmt w:val="lowerRoman"/>
      <w:lvlText w:val="%9."/>
      <w:lvlJc w:val="right"/>
      <w:pPr>
        <w:ind w:left="45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73"/>
    <w:rsid w:val="00000DB8"/>
    <w:rsid w:val="000018B3"/>
    <w:rsid w:val="00001D09"/>
    <w:rsid w:val="00002AC8"/>
    <w:rsid w:val="00003CD3"/>
    <w:rsid w:val="00004078"/>
    <w:rsid w:val="00006D29"/>
    <w:rsid w:val="0000754B"/>
    <w:rsid w:val="00011FEF"/>
    <w:rsid w:val="000120C3"/>
    <w:rsid w:val="0001282C"/>
    <w:rsid w:val="000138C7"/>
    <w:rsid w:val="0001569C"/>
    <w:rsid w:val="000156FC"/>
    <w:rsid w:val="000170B3"/>
    <w:rsid w:val="000175AD"/>
    <w:rsid w:val="00020BD4"/>
    <w:rsid w:val="00020DD7"/>
    <w:rsid w:val="00023507"/>
    <w:rsid w:val="00024715"/>
    <w:rsid w:val="00024AC6"/>
    <w:rsid w:val="00027217"/>
    <w:rsid w:val="00031804"/>
    <w:rsid w:val="00033EF6"/>
    <w:rsid w:val="00034DB5"/>
    <w:rsid w:val="00035B78"/>
    <w:rsid w:val="00036902"/>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6D2"/>
    <w:rsid w:val="00051899"/>
    <w:rsid w:val="00051B85"/>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4F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5EC"/>
    <w:rsid w:val="00081676"/>
    <w:rsid w:val="0008201F"/>
    <w:rsid w:val="00082D51"/>
    <w:rsid w:val="00082EA5"/>
    <w:rsid w:val="00084A85"/>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1F4"/>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597"/>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5BF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E7E3A"/>
    <w:rsid w:val="001F05A2"/>
    <w:rsid w:val="001F0E23"/>
    <w:rsid w:val="001F1401"/>
    <w:rsid w:val="001F28A8"/>
    <w:rsid w:val="001F2D32"/>
    <w:rsid w:val="001F53E7"/>
    <w:rsid w:val="001F5FA8"/>
    <w:rsid w:val="001F795C"/>
    <w:rsid w:val="001F7F84"/>
    <w:rsid w:val="0020068E"/>
    <w:rsid w:val="00200AFB"/>
    <w:rsid w:val="00200DBA"/>
    <w:rsid w:val="002028C8"/>
    <w:rsid w:val="00202906"/>
    <w:rsid w:val="00203BC3"/>
    <w:rsid w:val="00203C5F"/>
    <w:rsid w:val="00203F02"/>
    <w:rsid w:val="00204329"/>
    <w:rsid w:val="00204EDE"/>
    <w:rsid w:val="00206006"/>
    <w:rsid w:val="00206363"/>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30624"/>
    <w:rsid w:val="0023076B"/>
    <w:rsid w:val="00233E9D"/>
    <w:rsid w:val="00234366"/>
    <w:rsid w:val="00234B56"/>
    <w:rsid w:val="00235194"/>
    <w:rsid w:val="00237CA7"/>
    <w:rsid w:val="00240894"/>
    <w:rsid w:val="00241201"/>
    <w:rsid w:val="00241526"/>
    <w:rsid w:val="002419B6"/>
    <w:rsid w:val="00243834"/>
    <w:rsid w:val="00244A63"/>
    <w:rsid w:val="00245723"/>
    <w:rsid w:val="002458D0"/>
    <w:rsid w:val="00246B4A"/>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1F5D"/>
    <w:rsid w:val="00292E96"/>
    <w:rsid w:val="0029369D"/>
    <w:rsid w:val="00294588"/>
    <w:rsid w:val="00294CA5"/>
    <w:rsid w:val="00294CFC"/>
    <w:rsid w:val="00295E21"/>
    <w:rsid w:val="00295F6D"/>
    <w:rsid w:val="002A0CB9"/>
    <w:rsid w:val="002A0D00"/>
    <w:rsid w:val="002A1B3B"/>
    <w:rsid w:val="002A31E5"/>
    <w:rsid w:val="002A34D7"/>
    <w:rsid w:val="002A391A"/>
    <w:rsid w:val="002A3C20"/>
    <w:rsid w:val="002A6BCE"/>
    <w:rsid w:val="002B0E77"/>
    <w:rsid w:val="002B1439"/>
    <w:rsid w:val="002B169F"/>
    <w:rsid w:val="002B2939"/>
    <w:rsid w:val="002B2AA1"/>
    <w:rsid w:val="002B3639"/>
    <w:rsid w:val="002B49B4"/>
    <w:rsid w:val="002B4D64"/>
    <w:rsid w:val="002B57D1"/>
    <w:rsid w:val="002C039D"/>
    <w:rsid w:val="002C058E"/>
    <w:rsid w:val="002C2286"/>
    <w:rsid w:val="002C2AE5"/>
    <w:rsid w:val="002C372C"/>
    <w:rsid w:val="002C4AC4"/>
    <w:rsid w:val="002C5B06"/>
    <w:rsid w:val="002C5DDD"/>
    <w:rsid w:val="002C63E3"/>
    <w:rsid w:val="002C7280"/>
    <w:rsid w:val="002C76A4"/>
    <w:rsid w:val="002C7B40"/>
    <w:rsid w:val="002C7D06"/>
    <w:rsid w:val="002D11F6"/>
    <w:rsid w:val="002D1A43"/>
    <w:rsid w:val="002D23F2"/>
    <w:rsid w:val="002D25BA"/>
    <w:rsid w:val="002D329A"/>
    <w:rsid w:val="002D3FAD"/>
    <w:rsid w:val="002D5B47"/>
    <w:rsid w:val="002D5EF6"/>
    <w:rsid w:val="002D681B"/>
    <w:rsid w:val="002D70C3"/>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8BD"/>
    <w:rsid w:val="00363942"/>
    <w:rsid w:val="00363E52"/>
    <w:rsid w:val="003641B5"/>
    <w:rsid w:val="00366563"/>
    <w:rsid w:val="00367162"/>
    <w:rsid w:val="003678EE"/>
    <w:rsid w:val="00373BA0"/>
    <w:rsid w:val="00373BBC"/>
    <w:rsid w:val="0037499D"/>
    <w:rsid w:val="003758DF"/>
    <w:rsid w:val="00376E62"/>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4EB1"/>
    <w:rsid w:val="003C651B"/>
    <w:rsid w:val="003C6BAE"/>
    <w:rsid w:val="003C6E07"/>
    <w:rsid w:val="003C7201"/>
    <w:rsid w:val="003C7A6F"/>
    <w:rsid w:val="003D110A"/>
    <w:rsid w:val="003D2797"/>
    <w:rsid w:val="003D3E5A"/>
    <w:rsid w:val="003D40B2"/>
    <w:rsid w:val="003D4649"/>
    <w:rsid w:val="003D4EA3"/>
    <w:rsid w:val="003D5C1E"/>
    <w:rsid w:val="003D6376"/>
    <w:rsid w:val="003D7245"/>
    <w:rsid w:val="003D7DFE"/>
    <w:rsid w:val="003E0393"/>
    <w:rsid w:val="003E1B81"/>
    <w:rsid w:val="003E20EF"/>
    <w:rsid w:val="003E3A6E"/>
    <w:rsid w:val="003E4014"/>
    <w:rsid w:val="003E4847"/>
    <w:rsid w:val="003E5E1B"/>
    <w:rsid w:val="003E60CE"/>
    <w:rsid w:val="003E6DDF"/>
    <w:rsid w:val="003F10E6"/>
    <w:rsid w:val="003F2F98"/>
    <w:rsid w:val="003F3AF9"/>
    <w:rsid w:val="003F3BB6"/>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B9F"/>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4EA0"/>
    <w:rsid w:val="00477C6A"/>
    <w:rsid w:val="0048008F"/>
    <w:rsid w:val="00480C09"/>
    <w:rsid w:val="0048103C"/>
    <w:rsid w:val="004815E9"/>
    <w:rsid w:val="0048186F"/>
    <w:rsid w:val="00481FEB"/>
    <w:rsid w:val="004820BB"/>
    <w:rsid w:val="00482179"/>
    <w:rsid w:val="00482D38"/>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1D2"/>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633D"/>
    <w:rsid w:val="00537689"/>
    <w:rsid w:val="00540EE0"/>
    <w:rsid w:val="00542A59"/>
    <w:rsid w:val="00543DB9"/>
    <w:rsid w:val="00544954"/>
    <w:rsid w:val="00545731"/>
    <w:rsid w:val="00545AE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510"/>
    <w:rsid w:val="005C58C8"/>
    <w:rsid w:val="005C59AB"/>
    <w:rsid w:val="005C6E31"/>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1E7"/>
    <w:rsid w:val="005F557D"/>
    <w:rsid w:val="005F78CA"/>
    <w:rsid w:val="00600640"/>
    <w:rsid w:val="00601D82"/>
    <w:rsid w:val="006023BE"/>
    <w:rsid w:val="00604483"/>
    <w:rsid w:val="006056FE"/>
    <w:rsid w:val="0060765B"/>
    <w:rsid w:val="0060781B"/>
    <w:rsid w:val="0061026E"/>
    <w:rsid w:val="00611F71"/>
    <w:rsid w:val="006120C8"/>
    <w:rsid w:val="006121D3"/>
    <w:rsid w:val="0061232F"/>
    <w:rsid w:val="0061462C"/>
    <w:rsid w:val="00621664"/>
    <w:rsid w:val="00623BEB"/>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5CB2"/>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4A1A"/>
    <w:rsid w:val="006A575A"/>
    <w:rsid w:val="006A5DBA"/>
    <w:rsid w:val="006B2191"/>
    <w:rsid w:val="006B59BD"/>
    <w:rsid w:val="006B603F"/>
    <w:rsid w:val="006C0058"/>
    <w:rsid w:val="006C0F86"/>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5514"/>
    <w:rsid w:val="006E7242"/>
    <w:rsid w:val="006F025C"/>
    <w:rsid w:val="006F1AF5"/>
    <w:rsid w:val="006F23E9"/>
    <w:rsid w:val="006F2CE5"/>
    <w:rsid w:val="006F3DD9"/>
    <w:rsid w:val="006F507B"/>
    <w:rsid w:val="006F51B7"/>
    <w:rsid w:val="006F565F"/>
    <w:rsid w:val="006F61AB"/>
    <w:rsid w:val="006F6D97"/>
    <w:rsid w:val="0070174F"/>
    <w:rsid w:val="00701F2C"/>
    <w:rsid w:val="007034E5"/>
    <w:rsid w:val="007037CF"/>
    <w:rsid w:val="0070457C"/>
    <w:rsid w:val="00705324"/>
    <w:rsid w:val="007058FF"/>
    <w:rsid w:val="00705A3F"/>
    <w:rsid w:val="00705B52"/>
    <w:rsid w:val="00705FF9"/>
    <w:rsid w:val="0070669D"/>
    <w:rsid w:val="00707317"/>
    <w:rsid w:val="00710158"/>
    <w:rsid w:val="00711185"/>
    <w:rsid w:val="00711271"/>
    <w:rsid w:val="00711D4C"/>
    <w:rsid w:val="00712D56"/>
    <w:rsid w:val="007134FF"/>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6BB"/>
    <w:rsid w:val="00746E70"/>
    <w:rsid w:val="00747CFF"/>
    <w:rsid w:val="00750981"/>
    <w:rsid w:val="00751665"/>
    <w:rsid w:val="00751C7D"/>
    <w:rsid w:val="007520F4"/>
    <w:rsid w:val="00752634"/>
    <w:rsid w:val="007528A3"/>
    <w:rsid w:val="00752A9A"/>
    <w:rsid w:val="00752B6C"/>
    <w:rsid w:val="0075483C"/>
    <w:rsid w:val="00754937"/>
    <w:rsid w:val="0075695C"/>
    <w:rsid w:val="00757351"/>
    <w:rsid w:val="00757C4E"/>
    <w:rsid w:val="00761665"/>
    <w:rsid w:val="0076310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D66"/>
    <w:rsid w:val="007E1DC3"/>
    <w:rsid w:val="007E1DE3"/>
    <w:rsid w:val="007E3248"/>
    <w:rsid w:val="007E48F9"/>
    <w:rsid w:val="007E4FA7"/>
    <w:rsid w:val="007E57C6"/>
    <w:rsid w:val="007E5F34"/>
    <w:rsid w:val="007E60BF"/>
    <w:rsid w:val="007E6795"/>
    <w:rsid w:val="007E6917"/>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0E4B"/>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6036"/>
    <w:rsid w:val="0087796D"/>
    <w:rsid w:val="00877AD1"/>
    <w:rsid w:val="00877B04"/>
    <w:rsid w:val="008802B4"/>
    <w:rsid w:val="008814B7"/>
    <w:rsid w:val="0088282A"/>
    <w:rsid w:val="00883AB9"/>
    <w:rsid w:val="00884426"/>
    <w:rsid w:val="008852F3"/>
    <w:rsid w:val="00885811"/>
    <w:rsid w:val="0088689C"/>
    <w:rsid w:val="0088723E"/>
    <w:rsid w:val="00887644"/>
    <w:rsid w:val="00891583"/>
    <w:rsid w:val="00891D36"/>
    <w:rsid w:val="00892424"/>
    <w:rsid w:val="008933E5"/>
    <w:rsid w:val="008934B8"/>
    <w:rsid w:val="008946DD"/>
    <w:rsid w:val="00895B18"/>
    <w:rsid w:val="00895E0C"/>
    <w:rsid w:val="008A1AF6"/>
    <w:rsid w:val="008A1AFF"/>
    <w:rsid w:val="008A2757"/>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E6B6B"/>
    <w:rsid w:val="008F019A"/>
    <w:rsid w:val="008F0858"/>
    <w:rsid w:val="008F14BF"/>
    <w:rsid w:val="008F16E4"/>
    <w:rsid w:val="008F2074"/>
    <w:rsid w:val="008F2C6F"/>
    <w:rsid w:val="008F3066"/>
    <w:rsid w:val="008F433A"/>
    <w:rsid w:val="008F459C"/>
    <w:rsid w:val="008F4CCA"/>
    <w:rsid w:val="009002BB"/>
    <w:rsid w:val="009009E1"/>
    <w:rsid w:val="00900E7B"/>
    <w:rsid w:val="009015B7"/>
    <w:rsid w:val="00901C19"/>
    <w:rsid w:val="009023A4"/>
    <w:rsid w:val="009034F6"/>
    <w:rsid w:val="00903B4C"/>
    <w:rsid w:val="00904682"/>
    <w:rsid w:val="00904830"/>
    <w:rsid w:val="00905B27"/>
    <w:rsid w:val="00906308"/>
    <w:rsid w:val="009071EA"/>
    <w:rsid w:val="00907412"/>
    <w:rsid w:val="00907BC2"/>
    <w:rsid w:val="00907D69"/>
    <w:rsid w:val="00907E4B"/>
    <w:rsid w:val="00911A6D"/>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A7E"/>
    <w:rsid w:val="00941195"/>
    <w:rsid w:val="009419EB"/>
    <w:rsid w:val="009427E7"/>
    <w:rsid w:val="00942BEB"/>
    <w:rsid w:val="00943AF7"/>
    <w:rsid w:val="00943C2D"/>
    <w:rsid w:val="0094423D"/>
    <w:rsid w:val="00944CB2"/>
    <w:rsid w:val="009464C3"/>
    <w:rsid w:val="00951850"/>
    <w:rsid w:val="00951961"/>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7A72"/>
    <w:rsid w:val="009917CA"/>
    <w:rsid w:val="00991DCB"/>
    <w:rsid w:val="00991E8F"/>
    <w:rsid w:val="00992660"/>
    <w:rsid w:val="00992D60"/>
    <w:rsid w:val="0099363F"/>
    <w:rsid w:val="00993ACD"/>
    <w:rsid w:val="009944DD"/>
    <w:rsid w:val="00994E3B"/>
    <w:rsid w:val="009955AE"/>
    <w:rsid w:val="00995D3D"/>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169B"/>
    <w:rsid w:val="009C3DC1"/>
    <w:rsid w:val="009C415B"/>
    <w:rsid w:val="009C50FE"/>
    <w:rsid w:val="009C59D5"/>
    <w:rsid w:val="009C5CB1"/>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3B80"/>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2F62"/>
    <w:rsid w:val="00A34A4F"/>
    <w:rsid w:val="00A34CD9"/>
    <w:rsid w:val="00A34DB1"/>
    <w:rsid w:val="00A353AB"/>
    <w:rsid w:val="00A35FE5"/>
    <w:rsid w:val="00A360C3"/>
    <w:rsid w:val="00A3656C"/>
    <w:rsid w:val="00A36B75"/>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0B14"/>
    <w:rsid w:val="00AA2DCA"/>
    <w:rsid w:val="00AA2E48"/>
    <w:rsid w:val="00AA2E98"/>
    <w:rsid w:val="00AA3201"/>
    <w:rsid w:val="00AA4292"/>
    <w:rsid w:val="00AA58E0"/>
    <w:rsid w:val="00AB1AE6"/>
    <w:rsid w:val="00AB21F2"/>
    <w:rsid w:val="00AB247C"/>
    <w:rsid w:val="00AB2E1F"/>
    <w:rsid w:val="00AB2E79"/>
    <w:rsid w:val="00AB3E82"/>
    <w:rsid w:val="00AB491D"/>
    <w:rsid w:val="00AB5346"/>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E0A4E"/>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0F"/>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3831"/>
    <w:rsid w:val="00BD4698"/>
    <w:rsid w:val="00BD4EF2"/>
    <w:rsid w:val="00BD6A73"/>
    <w:rsid w:val="00BD7D98"/>
    <w:rsid w:val="00BE1AA0"/>
    <w:rsid w:val="00BE23F7"/>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3CF"/>
    <w:rsid w:val="00C17FBF"/>
    <w:rsid w:val="00C20642"/>
    <w:rsid w:val="00C20FA8"/>
    <w:rsid w:val="00C2294D"/>
    <w:rsid w:val="00C237A1"/>
    <w:rsid w:val="00C23DDE"/>
    <w:rsid w:val="00C2490F"/>
    <w:rsid w:val="00C24E3A"/>
    <w:rsid w:val="00C25E1D"/>
    <w:rsid w:val="00C26130"/>
    <w:rsid w:val="00C26177"/>
    <w:rsid w:val="00C2768A"/>
    <w:rsid w:val="00C3059B"/>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27A"/>
    <w:rsid w:val="00C615FB"/>
    <w:rsid w:val="00C62244"/>
    <w:rsid w:val="00C6233F"/>
    <w:rsid w:val="00C6325C"/>
    <w:rsid w:val="00C634C6"/>
    <w:rsid w:val="00C64E0D"/>
    <w:rsid w:val="00C668D8"/>
    <w:rsid w:val="00C70520"/>
    <w:rsid w:val="00C709A5"/>
    <w:rsid w:val="00C72DD3"/>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A9C"/>
    <w:rsid w:val="00CA2E30"/>
    <w:rsid w:val="00CA321B"/>
    <w:rsid w:val="00CA3526"/>
    <w:rsid w:val="00CA3AB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1F2D"/>
    <w:rsid w:val="00CC231C"/>
    <w:rsid w:val="00CC233D"/>
    <w:rsid w:val="00CC318A"/>
    <w:rsid w:val="00CC604C"/>
    <w:rsid w:val="00CD08AA"/>
    <w:rsid w:val="00CD0A15"/>
    <w:rsid w:val="00CD0BFF"/>
    <w:rsid w:val="00CD2591"/>
    <w:rsid w:val="00CD26C8"/>
    <w:rsid w:val="00CD29DB"/>
    <w:rsid w:val="00CD2E5B"/>
    <w:rsid w:val="00CD306C"/>
    <w:rsid w:val="00CD31DC"/>
    <w:rsid w:val="00CD347E"/>
    <w:rsid w:val="00CD3801"/>
    <w:rsid w:val="00CD5828"/>
    <w:rsid w:val="00CE0C5F"/>
    <w:rsid w:val="00CE195A"/>
    <w:rsid w:val="00CE1C45"/>
    <w:rsid w:val="00CE249C"/>
    <w:rsid w:val="00CE26BD"/>
    <w:rsid w:val="00CE396C"/>
    <w:rsid w:val="00CE3A8D"/>
    <w:rsid w:val="00CE3CB6"/>
    <w:rsid w:val="00CE3DF7"/>
    <w:rsid w:val="00CE4539"/>
    <w:rsid w:val="00CE645D"/>
    <w:rsid w:val="00CE6546"/>
    <w:rsid w:val="00CE7147"/>
    <w:rsid w:val="00CE7414"/>
    <w:rsid w:val="00CF029F"/>
    <w:rsid w:val="00CF1928"/>
    <w:rsid w:val="00CF2776"/>
    <w:rsid w:val="00CF29B4"/>
    <w:rsid w:val="00CF440F"/>
    <w:rsid w:val="00CF58AF"/>
    <w:rsid w:val="00CF6D21"/>
    <w:rsid w:val="00CF72DA"/>
    <w:rsid w:val="00CF781F"/>
    <w:rsid w:val="00CF7F5B"/>
    <w:rsid w:val="00D00A8B"/>
    <w:rsid w:val="00D042B6"/>
    <w:rsid w:val="00D045E1"/>
    <w:rsid w:val="00D04BEC"/>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46C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67954"/>
    <w:rsid w:val="00D70E25"/>
    <w:rsid w:val="00D7142C"/>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65E3"/>
    <w:rsid w:val="00D973A3"/>
    <w:rsid w:val="00DA0117"/>
    <w:rsid w:val="00DA0136"/>
    <w:rsid w:val="00DA03C5"/>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7EE"/>
    <w:rsid w:val="00DE4ED3"/>
    <w:rsid w:val="00DE553F"/>
    <w:rsid w:val="00DE688D"/>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87D"/>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5F9"/>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2B4"/>
    <w:rsid w:val="00EA4C5D"/>
    <w:rsid w:val="00EA5B0F"/>
    <w:rsid w:val="00EA65C7"/>
    <w:rsid w:val="00EA757B"/>
    <w:rsid w:val="00EA79A1"/>
    <w:rsid w:val="00EB0B88"/>
    <w:rsid w:val="00EB2265"/>
    <w:rsid w:val="00EB232E"/>
    <w:rsid w:val="00EB280E"/>
    <w:rsid w:val="00EB3DE0"/>
    <w:rsid w:val="00EB544E"/>
    <w:rsid w:val="00EB57B4"/>
    <w:rsid w:val="00EB57D0"/>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5B0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1FD6"/>
    <w:rsid w:val="00F42505"/>
    <w:rsid w:val="00F4282A"/>
    <w:rsid w:val="00F43C0F"/>
    <w:rsid w:val="00F44236"/>
    <w:rsid w:val="00F45718"/>
    <w:rsid w:val="00F4666D"/>
    <w:rsid w:val="00F46FA1"/>
    <w:rsid w:val="00F4741D"/>
    <w:rsid w:val="00F476B4"/>
    <w:rsid w:val="00F51E6B"/>
    <w:rsid w:val="00F520B2"/>
    <w:rsid w:val="00F54144"/>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6642"/>
    <w:rsid w:val="00FA78C6"/>
    <w:rsid w:val="00FB0501"/>
    <w:rsid w:val="00FB22EC"/>
    <w:rsid w:val="00FB264A"/>
    <w:rsid w:val="00FB27EF"/>
    <w:rsid w:val="00FB2B3B"/>
    <w:rsid w:val="00FB2E7C"/>
    <w:rsid w:val="00FB3482"/>
    <w:rsid w:val="00FB4289"/>
    <w:rsid w:val="00FB55B0"/>
    <w:rsid w:val="00FB693C"/>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531C5C2A"/>
    <w:rsid w:val="5D0A03B4"/>
    <w:rsid w:val="620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ascii="Times New Roman" w:hAnsi="Times New Roman" w:eastAsia="微软雅黑"/>
      <w:b/>
      <w:bCs/>
      <w:iCs/>
      <w:color w:val="000000" w:themeColor="text1"/>
      <w:sz w:val="28"/>
      <w:szCs w:val="22"/>
    </w:rPr>
  </w:style>
  <w:style w:type="paragraph" w:styleId="41">
    <w:name w:val="List Paragraph"/>
    <w:basedOn w:val="1"/>
    <w:link w:val="86"/>
    <w:qFormat/>
    <w:uiPriority w:val="34"/>
    <w:pPr>
      <w:ind w:left="720"/>
      <w:contextualSpacing/>
    </w:pPr>
  </w:style>
  <w:style w:type="character" w:customStyle="1" w:styleId="42">
    <w:name w:val="标题 3 Char"/>
    <w:link w:val="4"/>
    <w:qFormat/>
    <w:uiPriority w:val="0"/>
    <w:rPr>
      <w:rFonts w:ascii="Times New Roman" w:hAnsi="Times New Roman" w:eastAsia="微软雅黑" w:cs="Times New Roman"/>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cs="Times New Roman"/>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cs="Times New Roman"/>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hidden/>
    <w:semiHidden/>
    <w:qFormat/>
    <w:uiPriority w:val="99"/>
    <w:rPr>
      <w:rFonts w:ascii="Times New Roman" w:hAnsi="Times New Roman" w:eastAsia="宋体" w:cs="Times New Roman"/>
      <w:iCs/>
      <w:color w:val="000000" w:themeColor="text1"/>
      <w:sz w:val="21"/>
      <w:lang w:val="en-US" w:eastAsia="zh-CN" w:bidi="ar-SA"/>
    </w:rPr>
  </w:style>
  <w:style w:type="character" w:customStyle="1" w:styleId="86">
    <w:name w:val="列出段落 Char"/>
    <w:basedOn w:val="33"/>
    <w:link w:val="41"/>
    <w:qFormat/>
    <w:locked/>
    <w:uiPriority w:val="34"/>
    <w:rPr>
      <w:rFonts w:ascii="Times New Roman" w:hAnsi="Times New Roman" w:eastAsia="宋体" w:cs="Times New Roman"/>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92288-EC13-46DC-B221-7759A7AD1B75}">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1062</Words>
  <Characters>6057</Characters>
  <Lines>50</Lines>
  <Paragraphs>14</Paragraphs>
  <TotalTime>0</TotalTime>
  <ScaleCrop>false</ScaleCrop>
  <LinksUpToDate>false</LinksUpToDate>
  <CharactersWithSpaces>7105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2021-05-08T01:08:00Z</dcterms:created>
  <dcterms:modified xsi:type="dcterms:W3CDTF">2021-08-31T00:39:22Z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C1C5733F7F6040E0B555CAE7DAB75D58</vt:lpwstr>
  </property>
</Properties>
</file>